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F23" w:rsidRDefault="00ED6320" w:rsidP="00ED6320">
      <w:pPr>
        <w:jc w:val="center"/>
        <w:rPr>
          <w:b/>
          <w:sz w:val="28"/>
          <w:szCs w:val="28"/>
        </w:rPr>
      </w:pPr>
      <w:r w:rsidRPr="0054683F">
        <w:rPr>
          <w:b/>
          <w:sz w:val="28"/>
          <w:szCs w:val="28"/>
        </w:rPr>
        <w:t xml:space="preserve">Информация о развитии предпринимательства </w:t>
      </w:r>
    </w:p>
    <w:p w:rsidR="00ED6320" w:rsidRPr="0054683F" w:rsidRDefault="00ED6320" w:rsidP="00ED6320">
      <w:pPr>
        <w:jc w:val="center"/>
        <w:rPr>
          <w:b/>
          <w:sz w:val="28"/>
          <w:szCs w:val="28"/>
        </w:rPr>
      </w:pPr>
      <w:r w:rsidRPr="0054683F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город</w:t>
      </w:r>
      <w:r w:rsidR="00B26F23">
        <w:rPr>
          <w:b/>
          <w:sz w:val="28"/>
          <w:szCs w:val="28"/>
        </w:rPr>
        <w:t>ском округе</w:t>
      </w:r>
      <w:r w:rsidRPr="005468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Судак</w:t>
      </w:r>
      <w:r w:rsidR="00B26F23">
        <w:rPr>
          <w:b/>
          <w:sz w:val="28"/>
          <w:szCs w:val="28"/>
        </w:rPr>
        <w:t xml:space="preserve"> за 2017 год</w:t>
      </w:r>
    </w:p>
    <w:p w:rsidR="00ED6320" w:rsidRDefault="00ED6320" w:rsidP="00ED6320">
      <w:pPr>
        <w:ind w:firstLine="708"/>
        <w:jc w:val="both"/>
        <w:rPr>
          <w:sz w:val="28"/>
          <w:szCs w:val="28"/>
        </w:rPr>
      </w:pPr>
    </w:p>
    <w:p w:rsidR="00ED6320" w:rsidRDefault="00ED6320" w:rsidP="00ED6320">
      <w:pPr>
        <w:ind w:firstLine="720"/>
        <w:jc w:val="both"/>
        <w:rPr>
          <w:sz w:val="28"/>
          <w:szCs w:val="28"/>
        </w:rPr>
      </w:pPr>
      <w:r w:rsidRPr="0090387B">
        <w:rPr>
          <w:sz w:val="28"/>
          <w:szCs w:val="28"/>
        </w:rPr>
        <w:t xml:space="preserve">По состоянию на </w:t>
      </w:r>
      <w:r>
        <w:rPr>
          <w:sz w:val="28"/>
          <w:szCs w:val="28"/>
        </w:rPr>
        <w:t>01 января 201</w:t>
      </w:r>
      <w:r w:rsidR="00B26F23">
        <w:rPr>
          <w:sz w:val="28"/>
          <w:szCs w:val="28"/>
        </w:rPr>
        <w:t>8</w:t>
      </w:r>
      <w:r w:rsidRPr="0090387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а в городском округе  зарегистрировано </w:t>
      </w:r>
      <w:r w:rsidR="00807E0A">
        <w:rPr>
          <w:sz w:val="28"/>
          <w:szCs w:val="28"/>
        </w:rPr>
        <w:t xml:space="preserve">1350 субъектов малого и среднего предпринимательства из них: </w:t>
      </w:r>
      <w:r>
        <w:rPr>
          <w:sz w:val="28"/>
          <w:szCs w:val="28"/>
        </w:rPr>
        <w:t>9</w:t>
      </w:r>
      <w:r w:rsidR="00E919BE">
        <w:rPr>
          <w:sz w:val="28"/>
          <w:szCs w:val="28"/>
        </w:rPr>
        <w:t>83</w:t>
      </w:r>
      <w:r>
        <w:rPr>
          <w:sz w:val="28"/>
          <w:szCs w:val="28"/>
        </w:rPr>
        <w:t xml:space="preserve"> </w:t>
      </w:r>
      <w:r w:rsidRPr="0090387B">
        <w:rPr>
          <w:sz w:val="28"/>
          <w:szCs w:val="28"/>
        </w:rPr>
        <w:t>индивид</w:t>
      </w:r>
      <w:r>
        <w:rPr>
          <w:sz w:val="28"/>
          <w:szCs w:val="28"/>
        </w:rPr>
        <w:t>уальных предпринимател</w:t>
      </w:r>
      <w:r w:rsidR="00E919BE">
        <w:rPr>
          <w:sz w:val="28"/>
          <w:szCs w:val="28"/>
        </w:rPr>
        <w:t>я</w:t>
      </w:r>
      <w:r>
        <w:rPr>
          <w:sz w:val="28"/>
          <w:szCs w:val="28"/>
        </w:rPr>
        <w:t xml:space="preserve"> и </w:t>
      </w:r>
      <w:r w:rsidR="00B87172">
        <w:rPr>
          <w:sz w:val="28"/>
          <w:szCs w:val="28"/>
        </w:rPr>
        <w:t xml:space="preserve">367 </w:t>
      </w:r>
      <w:r w:rsidR="00E919BE">
        <w:rPr>
          <w:sz w:val="28"/>
          <w:szCs w:val="28"/>
        </w:rPr>
        <w:t>юридических лиц</w:t>
      </w:r>
      <w:r w:rsidR="007E42EB">
        <w:rPr>
          <w:sz w:val="28"/>
          <w:szCs w:val="28"/>
        </w:rPr>
        <w:t>.</w:t>
      </w:r>
    </w:p>
    <w:p w:rsidR="00ED6320" w:rsidRPr="004D03C9" w:rsidRDefault="00ED6320" w:rsidP="00ED6320">
      <w:pPr>
        <w:ind w:firstLine="720"/>
        <w:jc w:val="both"/>
        <w:rPr>
          <w:sz w:val="28"/>
          <w:szCs w:val="28"/>
        </w:rPr>
      </w:pPr>
      <w:r w:rsidRPr="004D03C9">
        <w:rPr>
          <w:sz w:val="28"/>
          <w:szCs w:val="28"/>
        </w:rPr>
        <w:t xml:space="preserve">Основными сферами экономики городского округа является рекреационный и туристско-оздоровительный комплекс, </w:t>
      </w:r>
      <w:r w:rsidRPr="008B0E04">
        <w:rPr>
          <w:sz w:val="28"/>
          <w:szCs w:val="28"/>
        </w:rPr>
        <w:t>сель</w:t>
      </w:r>
      <w:r>
        <w:rPr>
          <w:sz w:val="28"/>
          <w:szCs w:val="28"/>
        </w:rPr>
        <w:t>ское хозяйство (виноградарство) и</w:t>
      </w:r>
      <w:r w:rsidRPr="008B0E04">
        <w:rPr>
          <w:sz w:val="28"/>
          <w:szCs w:val="28"/>
        </w:rPr>
        <w:t xml:space="preserve"> пищевая промышленность (виноделие).</w:t>
      </w:r>
      <w:r w:rsidRPr="004D03C9">
        <w:rPr>
          <w:sz w:val="28"/>
          <w:szCs w:val="28"/>
        </w:rPr>
        <w:t xml:space="preserve"> Помимо этого, в регионе налажено производство косметических средств на основе натурального сырья под торговой маркой «Царство ароматов».</w:t>
      </w:r>
    </w:p>
    <w:p w:rsidR="00B8219C" w:rsidRDefault="00ED6320" w:rsidP="00B8219C">
      <w:pPr>
        <w:ind w:firstLine="720"/>
        <w:jc w:val="both"/>
        <w:rPr>
          <w:sz w:val="28"/>
          <w:szCs w:val="28"/>
        </w:rPr>
      </w:pPr>
      <w:r w:rsidRPr="0090387B">
        <w:rPr>
          <w:sz w:val="28"/>
          <w:szCs w:val="28"/>
        </w:rPr>
        <w:t xml:space="preserve">Малый бизнес охватывает все сферы хозяйственной деятельности </w:t>
      </w:r>
      <w:r>
        <w:rPr>
          <w:sz w:val="28"/>
          <w:szCs w:val="28"/>
        </w:rPr>
        <w:t>города</w:t>
      </w:r>
      <w:r w:rsidRPr="0090387B">
        <w:rPr>
          <w:sz w:val="28"/>
          <w:szCs w:val="28"/>
        </w:rPr>
        <w:t>: торговля,  предоставление услуг,  производство</w:t>
      </w:r>
      <w:r w:rsidRPr="004D03C9">
        <w:rPr>
          <w:sz w:val="28"/>
          <w:szCs w:val="28"/>
        </w:rPr>
        <w:t xml:space="preserve">, </w:t>
      </w:r>
      <w:r w:rsidR="00B8219C">
        <w:rPr>
          <w:sz w:val="28"/>
          <w:szCs w:val="28"/>
        </w:rPr>
        <w:t>строительство и многое другое.</w:t>
      </w:r>
    </w:p>
    <w:p w:rsidR="00B8219C" w:rsidRDefault="00B8219C" w:rsidP="00B8219C">
      <w:pPr>
        <w:ind w:firstLine="720"/>
        <w:jc w:val="both"/>
        <w:rPr>
          <w:sz w:val="28"/>
          <w:szCs w:val="28"/>
        </w:rPr>
      </w:pPr>
    </w:p>
    <w:p w:rsidR="00B8219C" w:rsidRDefault="00B8219C" w:rsidP="00B8219C">
      <w:pPr>
        <w:ind w:firstLine="720"/>
        <w:jc w:val="both"/>
        <w:rPr>
          <w:sz w:val="28"/>
          <w:szCs w:val="28"/>
        </w:rPr>
      </w:pPr>
    </w:p>
    <w:p w:rsidR="00451367" w:rsidRPr="00376F48" w:rsidRDefault="001F7CA5" w:rsidP="001F7CA5">
      <w:pPr>
        <w:jc w:val="center"/>
        <w:rPr>
          <w:b/>
          <w:sz w:val="28"/>
          <w:szCs w:val="28"/>
        </w:rPr>
      </w:pPr>
      <w:r w:rsidRPr="00376F48">
        <w:rPr>
          <w:b/>
          <w:sz w:val="28"/>
          <w:szCs w:val="28"/>
        </w:rPr>
        <w:t>Структура мало</w:t>
      </w:r>
      <w:r w:rsidR="003F6CCF" w:rsidRPr="00376F48">
        <w:rPr>
          <w:b/>
          <w:sz w:val="28"/>
          <w:szCs w:val="28"/>
        </w:rPr>
        <w:t>го</w:t>
      </w:r>
      <w:r w:rsidRPr="00376F48">
        <w:rPr>
          <w:b/>
          <w:sz w:val="28"/>
          <w:szCs w:val="28"/>
        </w:rPr>
        <w:t xml:space="preserve"> и среднего предпринимательства</w:t>
      </w:r>
      <w:r w:rsidR="00451367" w:rsidRPr="00376F48">
        <w:rPr>
          <w:b/>
          <w:sz w:val="28"/>
          <w:szCs w:val="28"/>
        </w:rPr>
        <w:t xml:space="preserve"> </w:t>
      </w:r>
    </w:p>
    <w:p w:rsidR="00376F48" w:rsidRDefault="00451367" w:rsidP="001F7CA5">
      <w:pPr>
        <w:jc w:val="center"/>
        <w:rPr>
          <w:b/>
          <w:sz w:val="28"/>
          <w:szCs w:val="28"/>
        </w:rPr>
      </w:pPr>
      <w:proofErr w:type="gramStart"/>
      <w:r w:rsidRPr="00376F48">
        <w:rPr>
          <w:b/>
          <w:sz w:val="28"/>
          <w:szCs w:val="28"/>
        </w:rPr>
        <w:t>городского округа Судак</w:t>
      </w:r>
      <w:r w:rsidR="007D0995" w:rsidRPr="00376F48">
        <w:rPr>
          <w:b/>
          <w:sz w:val="28"/>
          <w:szCs w:val="28"/>
        </w:rPr>
        <w:t xml:space="preserve"> (по данным Единого реестра </w:t>
      </w:r>
      <w:proofErr w:type="gramEnd"/>
    </w:p>
    <w:p w:rsidR="00C70412" w:rsidRPr="00376F48" w:rsidRDefault="007D0995" w:rsidP="001F7CA5">
      <w:pPr>
        <w:jc w:val="center"/>
        <w:rPr>
          <w:b/>
          <w:sz w:val="28"/>
          <w:szCs w:val="28"/>
        </w:rPr>
      </w:pPr>
      <w:r w:rsidRPr="00376F48">
        <w:rPr>
          <w:b/>
          <w:sz w:val="28"/>
          <w:szCs w:val="28"/>
        </w:rPr>
        <w:t>субъектов малого и среднего предпринимательства)</w:t>
      </w:r>
      <w:r w:rsidR="001F7CA5" w:rsidRPr="00376F48">
        <w:rPr>
          <w:b/>
          <w:sz w:val="28"/>
          <w:szCs w:val="28"/>
        </w:rPr>
        <w:t>:</w:t>
      </w:r>
    </w:p>
    <w:p w:rsidR="003E5383" w:rsidRDefault="004C45F9" w:rsidP="003E5383">
      <w:pPr>
        <w:keepNext/>
        <w:jc w:val="center"/>
      </w:pPr>
      <w:r>
        <w:rPr>
          <w:noProof/>
        </w:rPr>
        <w:drawing>
          <wp:inline distT="0" distB="0" distL="0" distR="0" wp14:anchorId="588E3525" wp14:editId="6299BEDB">
            <wp:extent cx="5735782" cy="2978728"/>
            <wp:effectExtent l="0" t="0" r="17780" b="127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8219C" w:rsidRDefault="00B8219C" w:rsidP="008524E6">
      <w:pPr>
        <w:ind w:firstLine="720"/>
        <w:jc w:val="both"/>
        <w:rPr>
          <w:sz w:val="28"/>
          <w:szCs w:val="28"/>
        </w:rPr>
      </w:pPr>
    </w:p>
    <w:p w:rsidR="00B8219C" w:rsidRDefault="00B8219C" w:rsidP="008524E6">
      <w:pPr>
        <w:ind w:firstLine="720"/>
        <w:jc w:val="both"/>
        <w:rPr>
          <w:sz w:val="28"/>
          <w:szCs w:val="28"/>
        </w:rPr>
      </w:pPr>
    </w:p>
    <w:p w:rsidR="00AD6B3B" w:rsidRDefault="008524E6" w:rsidP="008524E6">
      <w:pPr>
        <w:ind w:firstLine="720"/>
        <w:jc w:val="both"/>
        <w:rPr>
          <w:sz w:val="28"/>
          <w:szCs w:val="28"/>
        </w:rPr>
      </w:pPr>
      <w:r w:rsidRPr="008524E6">
        <w:rPr>
          <w:sz w:val="28"/>
          <w:szCs w:val="28"/>
        </w:rPr>
        <w:t xml:space="preserve">По данным </w:t>
      </w:r>
      <w:proofErr w:type="spellStart"/>
      <w:r w:rsidRPr="008524E6">
        <w:rPr>
          <w:sz w:val="28"/>
          <w:szCs w:val="28"/>
        </w:rPr>
        <w:t>Крымстата</w:t>
      </w:r>
      <w:proofErr w:type="spellEnd"/>
      <w:r w:rsidR="007D0995">
        <w:rPr>
          <w:sz w:val="28"/>
          <w:szCs w:val="28"/>
        </w:rPr>
        <w:t xml:space="preserve"> по состоянию на 01.01.2018 года </w:t>
      </w:r>
      <w:r w:rsidRPr="008524E6">
        <w:rPr>
          <w:sz w:val="28"/>
          <w:szCs w:val="28"/>
        </w:rPr>
        <w:t>население трудоспособного возраста в</w:t>
      </w:r>
      <w:r>
        <w:rPr>
          <w:sz w:val="28"/>
          <w:szCs w:val="28"/>
        </w:rPr>
        <w:t xml:space="preserve"> </w:t>
      </w:r>
      <w:r w:rsidRPr="008524E6">
        <w:rPr>
          <w:sz w:val="28"/>
          <w:szCs w:val="28"/>
        </w:rPr>
        <w:t xml:space="preserve">городском округе Судак составляет </w:t>
      </w:r>
      <w:r w:rsidR="00131E74">
        <w:rPr>
          <w:sz w:val="28"/>
          <w:szCs w:val="28"/>
        </w:rPr>
        <w:t>18,2</w:t>
      </w:r>
      <w:r w:rsidR="00441880">
        <w:rPr>
          <w:sz w:val="28"/>
          <w:szCs w:val="28"/>
        </w:rPr>
        <w:t xml:space="preserve"> тыс. чел.</w:t>
      </w:r>
      <w:r w:rsidR="007D0995">
        <w:rPr>
          <w:sz w:val="28"/>
          <w:szCs w:val="28"/>
        </w:rPr>
        <w:t xml:space="preserve"> </w:t>
      </w:r>
      <w:r w:rsidRPr="008524E6">
        <w:rPr>
          <w:sz w:val="28"/>
          <w:szCs w:val="28"/>
        </w:rPr>
        <w:t>Численность населения, занятого во всех</w:t>
      </w:r>
      <w:r w:rsidR="00131E74">
        <w:rPr>
          <w:sz w:val="28"/>
          <w:szCs w:val="28"/>
        </w:rPr>
        <w:t xml:space="preserve"> </w:t>
      </w:r>
      <w:r w:rsidRPr="008524E6">
        <w:rPr>
          <w:sz w:val="28"/>
          <w:szCs w:val="28"/>
        </w:rPr>
        <w:t>сферах экономической деятел</w:t>
      </w:r>
      <w:r w:rsidR="000B612E">
        <w:rPr>
          <w:sz w:val="28"/>
          <w:szCs w:val="28"/>
        </w:rPr>
        <w:t>ьности составила 6,5 тыс. чел.</w:t>
      </w:r>
    </w:p>
    <w:p w:rsidR="005E6FD4" w:rsidRPr="002220CD" w:rsidRDefault="005E6FD4" w:rsidP="005E6FD4">
      <w:pPr>
        <w:ind w:firstLine="708"/>
        <w:jc w:val="center"/>
        <w:rPr>
          <w:sz w:val="28"/>
          <w:szCs w:val="28"/>
        </w:rPr>
      </w:pPr>
    </w:p>
    <w:p w:rsidR="005E6FD4" w:rsidRDefault="005E6FD4" w:rsidP="005E6FD4">
      <w:pPr>
        <w:ind w:firstLine="720"/>
        <w:jc w:val="center"/>
        <w:rPr>
          <w:b/>
          <w:sz w:val="28"/>
          <w:szCs w:val="28"/>
        </w:rPr>
      </w:pPr>
    </w:p>
    <w:p w:rsidR="00B8219C" w:rsidRDefault="00B8219C" w:rsidP="005E6FD4">
      <w:pPr>
        <w:ind w:firstLine="720"/>
        <w:jc w:val="center"/>
        <w:rPr>
          <w:b/>
          <w:sz w:val="28"/>
          <w:szCs w:val="28"/>
        </w:rPr>
      </w:pPr>
    </w:p>
    <w:p w:rsidR="00B8219C" w:rsidRDefault="00B8219C" w:rsidP="005E6FD4">
      <w:pPr>
        <w:ind w:firstLine="720"/>
        <w:jc w:val="center"/>
        <w:rPr>
          <w:b/>
          <w:sz w:val="28"/>
          <w:szCs w:val="28"/>
        </w:rPr>
      </w:pPr>
    </w:p>
    <w:p w:rsidR="00B8219C" w:rsidRDefault="00B8219C" w:rsidP="005E6FD4">
      <w:pPr>
        <w:ind w:firstLine="720"/>
        <w:jc w:val="center"/>
        <w:rPr>
          <w:b/>
          <w:sz w:val="28"/>
          <w:szCs w:val="28"/>
        </w:rPr>
      </w:pPr>
    </w:p>
    <w:p w:rsidR="005E6FD4" w:rsidRDefault="005E6FD4" w:rsidP="005E6FD4">
      <w:pPr>
        <w:ind w:firstLine="720"/>
        <w:jc w:val="center"/>
        <w:rPr>
          <w:b/>
          <w:sz w:val="28"/>
          <w:szCs w:val="28"/>
        </w:rPr>
      </w:pPr>
      <w:r w:rsidRPr="007D2D76">
        <w:rPr>
          <w:b/>
          <w:sz w:val="28"/>
          <w:szCs w:val="28"/>
        </w:rPr>
        <w:lastRenderedPageBreak/>
        <w:t>Структура</w:t>
      </w:r>
      <w:r w:rsidRPr="002220CD">
        <w:rPr>
          <w:b/>
          <w:sz w:val="28"/>
          <w:szCs w:val="28"/>
        </w:rPr>
        <w:t xml:space="preserve"> замещенных рабочих мест в субъектах малого и среднего предпринимательства в городском округе Судак</w:t>
      </w:r>
      <w:r w:rsidRPr="007D2D76">
        <w:rPr>
          <w:b/>
          <w:sz w:val="28"/>
          <w:szCs w:val="28"/>
        </w:rPr>
        <w:t xml:space="preserve"> </w:t>
      </w:r>
    </w:p>
    <w:p w:rsidR="00B8219C" w:rsidRDefault="005E6FD4" w:rsidP="00B8219C">
      <w:pPr>
        <w:ind w:firstLine="720"/>
        <w:jc w:val="center"/>
        <w:rPr>
          <w:b/>
          <w:sz w:val="28"/>
          <w:szCs w:val="28"/>
        </w:rPr>
      </w:pPr>
      <w:r w:rsidRPr="007D2D76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по информации </w:t>
      </w:r>
      <w:proofErr w:type="spellStart"/>
      <w:r>
        <w:rPr>
          <w:b/>
          <w:sz w:val="28"/>
          <w:szCs w:val="28"/>
        </w:rPr>
        <w:t>Крымстата</w:t>
      </w:r>
      <w:proofErr w:type="spellEnd"/>
      <w:r>
        <w:rPr>
          <w:b/>
          <w:sz w:val="28"/>
          <w:szCs w:val="28"/>
        </w:rPr>
        <w:t>, 201</w:t>
      </w:r>
      <w:r w:rsidR="00B8219C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г.)</w:t>
      </w:r>
    </w:p>
    <w:p w:rsidR="00B8219C" w:rsidRPr="002220CD" w:rsidRDefault="00B8219C" w:rsidP="00B8219C">
      <w:pPr>
        <w:ind w:firstLine="720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80D88E5" wp14:editId="7A49817E">
            <wp:extent cx="5583382" cy="2715490"/>
            <wp:effectExtent l="0" t="0" r="17780" b="2794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E6FD4" w:rsidRPr="002220CD" w:rsidRDefault="005E6FD4" w:rsidP="005E6FD4">
      <w:pPr>
        <w:ind w:firstLine="708"/>
        <w:jc w:val="both"/>
        <w:rPr>
          <w:sz w:val="28"/>
          <w:szCs w:val="28"/>
        </w:rPr>
      </w:pPr>
    </w:p>
    <w:p w:rsidR="005E6FD4" w:rsidRPr="00DA48F6" w:rsidRDefault="005E6FD4" w:rsidP="005E6FD4">
      <w:pPr>
        <w:ind w:firstLine="708"/>
        <w:jc w:val="center"/>
        <w:rPr>
          <w:b/>
          <w:sz w:val="28"/>
          <w:szCs w:val="28"/>
        </w:rPr>
      </w:pPr>
      <w:bookmarkStart w:id="0" w:name="_GoBack"/>
      <w:bookmarkEnd w:id="0"/>
      <w:r w:rsidRPr="00DA48F6">
        <w:rPr>
          <w:b/>
          <w:sz w:val="28"/>
          <w:szCs w:val="28"/>
        </w:rPr>
        <w:t>Структура о</w:t>
      </w:r>
      <w:r w:rsidRPr="002220CD">
        <w:rPr>
          <w:b/>
          <w:sz w:val="28"/>
          <w:szCs w:val="28"/>
        </w:rPr>
        <w:t>борот</w:t>
      </w:r>
      <w:r w:rsidRPr="00DA48F6">
        <w:rPr>
          <w:b/>
          <w:sz w:val="28"/>
          <w:szCs w:val="28"/>
        </w:rPr>
        <w:t>а</w:t>
      </w:r>
      <w:r w:rsidRPr="002220CD">
        <w:rPr>
          <w:b/>
          <w:sz w:val="28"/>
          <w:szCs w:val="28"/>
        </w:rPr>
        <w:t xml:space="preserve"> товаров (работ, услуг) субъектов малого и среднего предпринимательства городского округа Судак</w:t>
      </w:r>
    </w:p>
    <w:p w:rsidR="005E6FD4" w:rsidRPr="002220CD" w:rsidRDefault="005E6FD4" w:rsidP="005E6FD4">
      <w:pPr>
        <w:ind w:firstLine="720"/>
        <w:jc w:val="center"/>
        <w:rPr>
          <w:b/>
          <w:sz w:val="28"/>
          <w:szCs w:val="28"/>
        </w:rPr>
      </w:pPr>
      <w:r w:rsidRPr="00DA48F6">
        <w:rPr>
          <w:b/>
          <w:sz w:val="28"/>
          <w:szCs w:val="28"/>
        </w:rPr>
        <w:t xml:space="preserve">(по информации </w:t>
      </w:r>
      <w:proofErr w:type="spellStart"/>
      <w:r w:rsidRPr="00DA48F6">
        <w:rPr>
          <w:b/>
          <w:sz w:val="28"/>
          <w:szCs w:val="28"/>
        </w:rPr>
        <w:t>Крымстата</w:t>
      </w:r>
      <w:proofErr w:type="spellEnd"/>
      <w:r w:rsidRPr="00DA48F6">
        <w:rPr>
          <w:b/>
          <w:sz w:val="28"/>
          <w:szCs w:val="28"/>
        </w:rPr>
        <w:t>, 2015г.)</w:t>
      </w:r>
      <w:r w:rsidRPr="002220CD">
        <w:rPr>
          <w:b/>
          <w:sz w:val="28"/>
          <w:szCs w:val="28"/>
        </w:rPr>
        <w:t>:</w:t>
      </w:r>
    </w:p>
    <w:p w:rsidR="005E6FD4" w:rsidRPr="002220CD" w:rsidRDefault="005E6FD4" w:rsidP="005E6FD4">
      <w:pPr>
        <w:ind w:firstLine="708"/>
        <w:jc w:val="center"/>
        <w:rPr>
          <w:sz w:val="28"/>
          <w:szCs w:val="28"/>
        </w:rPr>
      </w:pPr>
    </w:p>
    <w:tbl>
      <w:tblPr>
        <w:tblW w:w="965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0"/>
        <w:gridCol w:w="2410"/>
      </w:tblGrid>
      <w:tr w:rsidR="005E6FD4" w:rsidRPr="002220CD" w:rsidTr="00330921">
        <w:trPr>
          <w:trHeight w:val="288"/>
          <w:jc w:val="center"/>
        </w:trPr>
        <w:tc>
          <w:tcPr>
            <w:tcW w:w="7240" w:type="dxa"/>
            <w:shd w:val="clear" w:color="auto" w:fill="auto"/>
            <w:noWrap/>
            <w:vAlign w:val="center"/>
            <w:hideMark/>
          </w:tcPr>
          <w:p w:rsidR="005E6FD4" w:rsidRPr="002220CD" w:rsidRDefault="005E6FD4" w:rsidP="00330921">
            <w:pPr>
              <w:jc w:val="center"/>
              <w:rPr>
                <w:sz w:val="28"/>
                <w:szCs w:val="28"/>
              </w:rPr>
            </w:pPr>
            <w:r w:rsidRPr="002220CD">
              <w:rPr>
                <w:b/>
                <w:sz w:val="28"/>
                <w:szCs w:val="28"/>
              </w:rPr>
              <w:t>Вид экономической деятельности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5E6FD4" w:rsidRPr="002220CD" w:rsidRDefault="005E6FD4" w:rsidP="00330921">
            <w:pPr>
              <w:ind w:firstLine="34"/>
              <w:jc w:val="center"/>
              <w:rPr>
                <w:b/>
                <w:sz w:val="28"/>
                <w:szCs w:val="28"/>
              </w:rPr>
            </w:pPr>
            <w:r w:rsidRPr="002220CD">
              <w:rPr>
                <w:b/>
                <w:sz w:val="28"/>
                <w:szCs w:val="28"/>
              </w:rPr>
              <w:t>Сумма, тыс. руб.</w:t>
            </w:r>
          </w:p>
        </w:tc>
      </w:tr>
      <w:tr w:rsidR="005E6FD4" w:rsidRPr="002220CD" w:rsidTr="00330921">
        <w:trPr>
          <w:trHeight w:val="54"/>
          <w:jc w:val="center"/>
        </w:trPr>
        <w:tc>
          <w:tcPr>
            <w:tcW w:w="7240" w:type="dxa"/>
            <w:shd w:val="clear" w:color="auto" w:fill="auto"/>
            <w:vAlign w:val="center"/>
            <w:hideMark/>
          </w:tcPr>
          <w:p w:rsidR="005E6FD4" w:rsidRPr="002220CD" w:rsidRDefault="005E6FD4" w:rsidP="00330921">
            <w:pPr>
              <w:rPr>
                <w:sz w:val="28"/>
                <w:szCs w:val="28"/>
              </w:rPr>
            </w:pPr>
            <w:r w:rsidRPr="002220CD">
              <w:rPr>
                <w:sz w:val="28"/>
                <w:szCs w:val="28"/>
              </w:rPr>
              <w:t>сельское хозяйство, охота и лесное хозяйство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5E6FD4" w:rsidRPr="002220CD" w:rsidRDefault="005E6FD4" w:rsidP="00330921">
            <w:pPr>
              <w:ind w:firstLine="34"/>
              <w:jc w:val="center"/>
              <w:rPr>
                <w:sz w:val="28"/>
                <w:szCs w:val="28"/>
              </w:rPr>
            </w:pPr>
            <w:r w:rsidRPr="002220CD">
              <w:rPr>
                <w:sz w:val="28"/>
                <w:szCs w:val="28"/>
              </w:rPr>
              <w:t>21 672,6</w:t>
            </w:r>
          </w:p>
        </w:tc>
      </w:tr>
      <w:tr w:rsidR="005E6FD4" w:rsidRPr="002220CD" w:rsidTr="00330921">
        <w:trPr>
          <w:trHeight w:val="528"/>
          <w:jc w:val="center"/>
        </w:trPr>
        <w:tc>
          <w:tcPr>
            <w:tcW w:w="7240" w:type="dxa"/>
            <w:shd w:val="clear" w:color="auto" w:fill="auto"/>
            <w:vAlign w:val="center"/>
            <w:hideMark/>
          </w:tcPr>
          <w:p w:rsidR="005E6FD4" w:rsidRPr="002220CD" w:rsidRDefault="005E6FD4" w:rsidP="00330921">
            <w:pPr>
              <w:rPr>
                <w:sz w:val="28"/>
                <w:szCs w:val="28"/>
              </w:rPr>
            </w:pPr>
            <w:r w:rsidRPr="002220CD">
              <w:rPr>
                <w:sz w:val="28"/>
                <w:szCs w:val="28"/>
              </w:rPr>
              <w:t>обрабатывающие производства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5E6FD4" w:rsidRPr="002220CD" w:rsidRDefault="005E6FD4" w:rsidP="00330921">
            <w:pPr>
              <w:ind w:firstLine="34"/>
              <w:jc w:val="center"/>
              <w:rPr>
                <w:sz w:val="28"/>
                <w:szCs w:val="28"/>
              </w:rPr>
            </w:pPr>
            <w:r w:rsidRPr="002220CD">
              <w:rPr>
                <w:sz w:val="28"/>
                <w:szCs w:val="28"/>
              </w:rPr>
              <w:t>77 354,7</w:t>
            </w:r>
          </w:p>
        </w:tc>
      </w:tr>
      <w:tr w:rsidR="005E6FD4" w:rsidRPr="002220CD" w:rsidTr="00330921">
        <w:trPr>
          <w:trHeight w:val="288"/>
          <w:jc w:val="center"/>
        </w:trPr>
        <w:tc>
          <w:tcPr>
            <w:tcW w:w="7240" w:type="dxa"/>
            <w:shd w:val="clear" w:color="auto" w:fill="auto"/>
            <w:vAlign w:val="center"/>
            <w:hideMark/>
          </w:tcPr>
          <w:p w:rsidR="005E6FD4" w:rsidRPr="002220CD" w:rsidRDefault="005E6FD4" w:rsidP="00330921">
            <w:pPr>
              <w:rPr>
                <w:sz w:val="28"/>
                <w:szCs w:val="28"/>
              </w:rPr>
            </w:pPr>
            <w:r w:rsidRPr="002220CD">
              <w:rPr>
                <w:sz w:val="28"/>
                <w:szCs w:val="28"/>
              </w:rPr>
              <w:t>строительство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5E6FD4" w:rsidRPr="002220CD" w:rsidRDefault="005E6FD4" w:rsidP="00330921">
            <w:pPr>
              <w:ind w:firstLine="34"/>
              <w:jc w:val="center"/>
              <w:rPr>
                <w:sz w:val="28"/>
                <w:szCs w:val="28"/>
              </w:rPr>
            </w:pPr>
            <w:r w:rsidRPr="002220CD">
              <w:rPr>
                <w:sz w:val="28"/>
                <w:szCs w:val="28"/>
              </w:rPr>
              <w:t>25 667,1</w:t>
            </w:r>
          </w:p>
        </w:tc>
      </w:tr>
      <w:tr w:rsidR="005E6FD4" w:rsidRPr="002220CD" w:rsidTr="00330921">
        <w:trPr>
          <w:trHeight w:val="679"/>
          <w:jc w:val="center"/>
        </w:trPr>
        <w:tc>
          <w:tcPr>
            <w:tcW w:w="7240" w:type="dxa"/>
            <w:shd w:val="clear" w:color="auto" w:fill="auto"/>
            <w:vAlign w:val="center"/>
            <w:hideMark/>
          </w:tcPr>
          <w:p w:rsidR="005E6FD4" w:rsidRPr="002220CD" w:rsidRDefault="005E6FD4" w:rsidP="00330921">
            <w:pPr>
              <w:rPr>
                <w:sz w:val="28"/>
                <w:szCs w:val="28"/>
              </w:rPr>
            </w:pPr>
            <w:r w:rsidRPr="002220CD">
              <w:rPr>
                <w:sz w:val="28"/>
                <w:szCs w:val="28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5E6FD4" w:rsidRPr="002220CD" w:rsidRDefault="005E6FD4" w:rsidP="00330921">
            <w:pPr>
              <w:ind w:firstLine="34"/>
              <w:jc w:val="center"/>
              <w:rPr>
                <w:sz w:val="28"/>
                <w:szCs w:val="28"/>
              </w:rPr>
            </w:pPr>
            <w:r w:rsidRPr="002220CD">
              <w:rPr>
                <w:sz w:val="28"/>
                <w:szCs w:val="28"/>
              </w:rPr>
              <w:t>1 058 592,5</w:t>
            </w:r>
          </w:p>
        </w:tc>
      </w:tr>
      <w:tr w:rsidR="005E6FD4" w:rsidRPr="002220CD" w:rsidTr="00330921">
        <w:trPr>
          <w:trHeight w:val="54"/>
          <w:jc w:val="center"/>
        </w:trPr>
        <w:tc>
          <w:tcPr>
            <w:tcW w:w="7240" w:type="dxa"/>
            <w:shd w:val="clear" w:color="auto" w:fill="auto"/>
            <w:vAlign w:val="center"/>
            <w:hideMark/>
          </w:tcPr>
          <w:p w:rsidR="005E6FD4" w:rsidRPr="002220CD" w:rsidRDefault="005E6FD4" w:rsidP="00330921">
            <w:pPr>
              <w:rPr>
                <w:sz w:val="28"/>
                <w:szCs w:val="28"/>
              </w:rPr>
            </w:pPr>
            <w:r w:rsidRPr="002220CD">
              <w:rPr>
                <w:sz w:val="28"/>
                <w:szCs w:val="28"/>
              </w:rPr>
              <w:t>гостиницы и рестораны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5E6FD4" w:rsidRPr="002220CD" w:rsidRDefault="005E6FD4" w:rsidP="00330921">
            <w:pPr>
              <w:ind w:firstLine="34"/>
              <w:jc w:val="center"/>
              <w:rPr>
                <w:sz w:val="28"/>
                <w:szCs w:val="28"/>
              </w:rPr>
            </w:pPr>
            <w:r w:rsidRPr="002220CD">
              <w:rPr>
                <w:sz w:val="28"/>
                <w:szCs w:val="28"/>
              </w:rPr>
              <w:t>279 022,1</w:t>
            </w:r>
          </w:p>
        </w:tc>
      </w:tr>
      <w:tr w:rsidR="005E6FD4" w:rsidRPr="002220CD" w:rsidTr="00330921">
        <w:trPr>
          <w:trHeight w:val="288"/>
          <w:jc w:val="center"/>
        </w:trPr>
        <w:tc>
          <w:tcPr>
            <w:tcW w:w="7240" w:type="dxa"/>
            <w:shd w:val="clear" w:color="auto" w:fill="auto"/>
            <w:vAlign w:val="center"/>
            <w:hideMark/>
          </w:tcPr>
          <w:p w:rsidR="005E6FD4" w:rsidRPr="002220CD" w:rsidRDefault="005E6FD4" w:rsidP="00330921">
            <w:pPr>
              <w:rPr>
                <w:sz w:val="28"/>
                <w:szCs w:val="28"/>
              </w:rPr>
            </w:pPr>
            <w:r w:rsidRPr="002220CD">
              <w:rPr>
                <w:sz w:val="28"/>
                <w:szCs w:val="28"/>
              </w:rPr>
              <w:t>транспорт и связь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5E6FD4" w:rsidRPr="002220CD" w:rsidRDefault="005E6FD4" w:rsidP="00330921">
            <w:pPr>
              <w:ind w:firstLine="34"/>
              <w:jc w:val="center"/>
              <w:rPr>
                <w:sz w:val="28"/>
                <w:szCs w:val="28"/>
              </w:rPr>
            </w:pPr>
            <w:r w:rsidRPr="002220CD">
              <w:rPr>
                <w:sz w:val="28"/>
                <w:szCs w:val="28"/>
              </w:rPr>
              <w:t>135 336,4</w:t>
            </w:r>
          </w:p>
        </w:tc>
      </w:tr>
      <w:tr w:rsidR="005E6FD4" w:rsidRPr="002220CD" w:rsidTr="00330921">
        <w:trPr>
          <w:trHeight w:val="228"/>
          <w:jc w:val="center"/>
        </w:trPr>
        <w:tc>
          <w:tcPr>
            <w:tcW w:w="7240" w:type="dxa"/>
            <w:shd w:val="clear" w:color="auto" w:fill="auto"/>
            <w:vAlign w:val="center"/>
            <w:hideMark/>
          </w:tcPr>
          <w:p w:rsidR="005E6FD4" w:rsidRPr="002220CD" w:rsidRDefault="005E6FD4" w:rsidP="00330921">
            <w:pPr>
              <w:rPr>
                <w:sz w:val="28"/>
                <w:szCs w:val="28"/>
              </w:rPr>
            </w:pPr>
            <w:r w:rsidRPr="002220CD">
              <w:rPr>
                <w:sz w:val="28"/>
                <w:szCs w:val="28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5E6FD4" w:rsidRPr="002220CD" w:rsidRDefault="005E6FD4" w:rsidP="00330921">
            <w:pPr>
              <w:ind w:firstLine="34"/>
              <w:jc w:val="center"/>
              <w:rPr>
                <w:sz w:val="28"/>
                <w:szCs w:val="28"/>
              </w:rPr>
            </w:pPr>
            <w:r w:rsidRPr="002220CD">
              <w:rPr>
                <w:sz w:val="28"/>
                <w:szCs w:val="28"/>
              </w:rPr>
              <w:t>85 865,6</w:t>
            </w:r>
          </w:p>
        </w:tc>
      </w:tr>
      <w:tr w:rsidR="005E6FD4" w:rsidRPr="002220CD" w:rsidTr="00330921">
        <w:trPr>
          <w:trHeight w:val="280"/>
          <w:jc w:val="center"/>
        </w:trPr>
        <w:tc>
          <w:tcPr>
            <w:tcW w:w="7240" w:type="dxa"/>
            <w:shd w:val="clear" w:color="auto" w:fill="auto"/>
            <w:vAlign w:val="center"/>
            <w:hideMark/>
          </w:tcPr>
          <w:p w:rsidR="005E6FD4" w:rsidRPr="002220CD" w:rsidRDefault="005E6FD4" w:rsidP="00330921">
            <w:pPr>
              <w:rPr>
                <w:sz w:val="28"/>
                <w:szCs w:val="28"/>
              </w:rPr>
            </w:pPr>
            <w:r w:rsidRPr="002220CD">
              <w:rPr>
                <w:sz w:val="28"/>
                <w:szCs w:val="28"/>
              </w:rPr>
              <w:t>здравоохранение и предоставление социальных услуг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5E6FD4" w:rsidRPr="002220CD" w:rsidRDefault="005E6FD4" w:rsidP="00330921">
            <w:pPr>
              <w:ind w:firstLine="34"/>
              <w:jc w:val="center"/>
              <w:rPr>
                <w:sz w:val="28"/>
                <w:szCs w:val="28"/>
              </w:rPr>
            </w:pPr>
            <w:r w:rsidRPr="002220CD">
              <w:rPr>
                <w:sz w:val="28"/>
                <w:szCs w:val="28"/>
              </w:rPr>
              <w:t>83 994,1</w:t>
            </w:r>
          </w:p>
        </w:tc>
      </w:tr>
      <w:tr w:rsidR="005E6FD4" w:rsidRPr="002220CD" w:rsidTr="00330921">
        <w:trPr>
          <w:trHeight w:val="54"/>
          <w:jc w:val="center"/>
        </w:trPr>
        <w:tc>
          <w:tcPr>
            <w:tcW w:w="7240" w:type="dxa"/>
            <w:shd w:val="clear" w:color="auto" w:fill="auto"/>
            <w:vAlign w:val="center"/>
            <w:hideMark/>
          </w:tcPr>
          <w:p w:rsidR="005E6FD4" w:rsidRPr="002220CD" w:rsidRDefault="005E6FD4" w:rsidP="00330921">
            <w:pPr>
              <w:rPr>
                <w:sz w:val="28"/>
                <w:szCs w:val="28"/>
              </w:rPr>
            </w:pPr>
            <w:r w:rsidRPr="002220CD">
              <w:rPr>
                <w:sz w:val="28"/>
                <w:szCs w:val="28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5E6FD4" w:rsidRPr="002220CD" w:rsidRDefault="005E6FD4" w:rsidP="00330921">
            <w:pPr>
              <w:ind w:firstLine="34"/>
              <w:jc w:val="center"/>
              <w:rPr>
                <w:sz w:val="28"/>
                <w:szCs w:val="28"/>
              </w:rPr>
            </w:pPr>
            <w:r w:rsidRPr="002220CD">
              <w:rPr>
                <w:sz w:val="28"/>
                <w:szCs w:val="28"/>
              </w:rPr>
              <w:t>33 013,4</w:t>
            </w:r>
          </w:p>
        </w:tc>
      </w:tr>
      <w:tr w:rsidR="005E6FD4" w:rsidRPr="002220CD" w:rsidTr="00330921">
        <w:trPr>
          <w:trHeight w:val="288"/>
          <w:jc w:val="center"/>
        </w:trPr>
        <w:tc>
          <w:tcPr>
            <w:tcW w:w="7240" w:type="dxa"/>
            <w:shd w:val="clear" w:color="auto" w:fill="auto"/>
            <w:vAlign w:val="center"/>
            <w:hideMark/>
          </w:tcPr>
          <w:p w:rsidR="005E6FD4" w:rsidRPr="002220CD" w:rsidRDefault="005E6FD4" w:rsidP="00330921">
            <w:pPr>
              <w:ind w:firstLine="34"/>
              <w:rPr>
                <w:b/>
                <w:sz w:val="28"/>
                <w:szCs w:val="28"/>
              </w:rPr>
            </w:pPr>
            <w:r w:rsidRPr="002220CD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E6FD4" w:rsidRPr="002220CD" w:rsidRDefault="005E6FD4" w:rsidP="00330921">
            <w:pPr>
              <w:ind w:firstLine="34"/>
              <w:jc w:val="center"/>
              <w:rPr>
                <w:b/>
                <w:sz w:val="28"/>
                <w:szCs w:val="28"/>
              </w:rPr>
            </w:pPr>
            <w:r w:rsidRPr="002220CD">
              <w:rPr>
                <w:b/>
                <w:sz w:val="28"/>
                <w:szCs w:val="28"/>
              </w:rPr>
              <w:t>1 800 518,5</w:t>
            </w:r>
          </w:p>
        </w:tc>
      </w:tr>
    </w:tbl>
    <w:p w:rsidR="005E6FD4" w:rsidRDefault="005E6FD4" w:rsidP="00DD277C">
      <w:pPr>
        <w:ind w:firstLine="708"/>
        <w:jc w:val="both"/>
        <w:rPr>
          <w:sz w:val="28"/>
          <w:szCs w:val="28"/>
        </w:rPr>
      </w:pPr>
    </w:p>
    <w:p w:rsidR="001E2017" w:rsidRPr="001E2017" w:rsidRDefault="001E2017" w:rsidP="00DD277C">
      <w:pPr>
        <w:ind w:firstLine="708"/>
        <w:jc w:val="both"/>
        <w:rPr>
          <w:sz w:val="28"/>
          <w:szCs w:val="28"/>
        </w:rPr>
      </w:pPr>
      <w:r w:rsidRPr="001E2017">
        <w:rPr>
          <w:sz w:val="28"/>
          <w:szCs w:val="28"/>
        </w:rPr>
        <w:t>С целью содействия развитию предпринимательства на территории городского округа действует муниципальная программа «Стимулирование развития экономики в городском округе Судак до 2019 года», которая включает мероприятия по поддержке малого и среднего предпринимательства, формированию благоприятной инвестиционной среды.</w:t>
      </w:r>
    </w:p>
    <w:p w:rsidR="001E2017" w:rsidRPr="001E2017" w:rsidRDefault="00C0446F" w:rsidP="001E20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 исполнение муниципальной программы и государственных программ поддержки развития предпринимательства в</w:t>
      </w:r>
      <w:r w:rsidR="00147170">
        <w:rPr>
          <w:sz w:val="28"/>
          <w:szCs w:val="28"/>
        </w:rPr>
        <w:t xml:space="preserve"> 2017 году </w:t>
      </w:r>
      <w:r w:rsidR="001E2017" w:rsidRPr="001E2017">
        <w:rPr>
          <w:sz w:val="28"/>
          <w:szCs w:val="28"/>
        </w:rPr>
        <w:t xml:space="preserve">в Судаке организовано 9 семинаров для </w:t>
      </w:r>
      <w:r w:rsidR="00147170">
        <w:rPr>
          <w:sz w:val="28"/>
          <w:szCs w:val="28"/>
        </w:rPr>
        <w:t>предпринимателей</w:t>
      </w:r>
      <w:r w:rsidR="001E2017" w:rsidRPr="001E2017">
        <w:rPr>
          <w:sz w:val="28"/>
          <w:szCs w:val="28"/>
        </w:rPr>
        <w:t xml:space="preserve"> по вопросам ведения бухгалтерского учета, трудового и налогового законодательства и прочим вопросам. В данных мероприятиях приняли участие более 350 предпринимателей.</w:t>
      </w:r>
    </w:p>
    <w:p w:rsidR="001E2017" w:rsidRPr="001E2017" w:rsidRDefault="001E2017" w:rsidP="001E2017">
      <w:pPr>
        <w:ind w:firstLine="708"/>
        <w:jc w:val="both"/>
        <w:rPr>
          <w:sz w:val="28"/>
          <w:szCs w:val="28"/>
        </w:rPr>
      </w:pPr>
      <w:r w:rsidRPr="001E2017">
        <w:rPr>
          <w:sz w:val="28"/>
          <w:szCs w:val="28"/>
        </w:rPr>
        <w:t xml:space="preserve">При содействии администрации города Фондом поддержки предпринимательства Крыма в </w:t>
      </w:r>
      <w:proofErr w:type="spellStart"/>
      <w:r w:rsidRPr="001E2017">
        <w:rPr>
          <w:sz w:val="28"/>
          <w:szCs w:val="28"/>
        </w:rPr>
        <w:t>г</w:t>
      </w:r>
      <w:proofErr w:type="gramStart"/>
      <w:r w:rsidRPr="001E2017">
        <w:rPr>
          <w:sz w:val="28"/>
          <w:szCs w:val="28"/>
        </w:rPr>
        <w:t>.С</w:t>
      </w:r>
      <w:proofErr w:type="gramEnd"/>
      <w:r w:rsidRPr="001E2017">
        <w:rPr>
          <w:sz w:val="28"/>
          <w:szCs w:val="28"/>
        </w:rPr>
        <w:t>удак</w:t>
      </w:r>
      <w:proofErr w:type="spellEnd"/>
      <w:r w:rsidRPr="001E2017">
        <w:rPr>
          <w:sz w:val="28"/>
          <w:szCs w:val="28"/>
        </w:rPr>
        <w:t xml:space="preserve"> проведены бесплатные обучающие курсы для предпринимателей «Основы предпринимательской деятельности», «Основы бизнес-планирования».</w:t>
      </w:r>
    </w:p>
    <w:p w:rsidR="001E2017" w:rsidRPr="001E2017" w:rsidRDefault="001E2017" w:rsidP="001E2017">
      <w:pPr>
        <w:tabs>
          <w:tab w:val="left" w:pos="0"/>
          <w:tab w:val="left" w:pos="1080"/>
        </w:tabs>
        <w:ind w:firstLine="720"/>
        <w:contextualSpacing/>
        <w:jc w:val="both"/>
        <w:rPr>
          <w:sz w:val="28"/>
          <w:szCs w:val="28"/>
        </w:rPr>
      </w:pPr>
      <w:r w:rsidRPr="001E2017">
        <w:rPr>
          <w:sz w:val="28"/>
          <w:szCs w:val="28"/>
        </w:rPr>
        <w:t xml:space="preserve">Для поощрения представителей бизнеса за профессионализм, администрацией города Судака проведен </w:t>
      </w:r>
      <w:r w:rsidR="00B60071">
        <w:rPr>
          <w:sz w:val="28"/>
          <w:szCs w:val="28"/>
        </w:rPr>
        <w:t xml:space="preserve">конкурс «Предприниматель года», </w:t>
      </w:r>
      <w:r w:rsidRPr="001E2017">
        <w:rPr>
          <w:sz w:val="28"/>
          <w:szCs w:val="28"/>
        </w:rPr>
        <w:t>определены победители в 6 номинациях: «Лидер в сфере экскурсионных услуг», «Лидер в сфере торговли», «Лидер в сфере предоставления услуг населению», «Лидер в сфере общественного питания», «Лидер в сфере отельного бизнеса», «Лидер индустрии красоты», 6 субъектов бизнеса отмечены специальными призами</w:t>
      </w:r>
      <w:r w:rsidR="00627163" w:rsidRPr="00EE1D42">
        <w:rPr>
          <w:sz w:val="28"/>
          <w:szCs w:val="28"/>
        </w:rPr>
        <w:t>.</w:t>
      </w:r>
    </w:p>
    <w:p w:rsidR="001E2017" w:rsidRPr="001E2017" w:rsidRDefault="001E2017" w:rsidP="001E2017">
      <w:pPr>
        <w:ind w:firstLine="708"/>
        <w:jc w:val="both"/>
        <w:rPr>
          <w:sz w:val="28"/>
          <w:szCs w:val="28"/>
        </w:rPr>
      </w:pPr>
      <w:r w:rsidRPr="001E2017">
        <w:rPr>
          <w:sz w:val="28"/>
          <w:szCs w:val="28"/>
        </w:rPr>
        <w:t>В рамках пр</w:t>
      </w:r>
      <w:r w:rsidR="00B60071">
        <w:rPr>
          <w:sz w:val="28"/>
          <w:szCs w:val="28"/>
        </w:rPr>
        <w:t>азднования Дня предпринимателя 2</w:t>
      </w:r>
      <w:r w:rsidRPr="001E2017">
        <w:rPr>
          <w:sz w:val="28"/>
          <w:szCs w:val="28"/>
        </w:rPr>
        <w:t>7 мая проведена Вторая городская спартакиада предпринимателей, в которой приняли участие более 100 представителей бизнеса.</w:t>
      </w:r>
    </w:p>
    <w:p w:rsidR="001E2017" w:rsidRPr="001E2017" w:rsidRDefault="001E2017" w:rsidP="001E2017">
      <w:pPr>
        <w:ind w:firstLine="708"/>
        <w:jc w:val="both"/>
        <w:rPr>
          <w:sz w:val="28"/>
          <w:szCs w:val="28"/>
        </w:rPr>
      </w:pPr>
      <w:r w:rsidRPr="001E2017">
        <w:rPr>
          <w:sz w:val="28"/>
          <w:szCs w:val="28"/>
        </w:rPr>
        <w:t xml:space="preserve">В 2017 году </w:t>
      </w:r>
      <w:r w:rsidR="000A6FF6">
        <w:rPr>
          <w:sz w:val="28"/>
          <w:szCs w:val="28"/>
        </w:rPr>
        <w:t xml:space="preserve">предпринимателям городского округа Судак </w:t>
      </w:r>
      <w:r w:rsidRPr="001E2017">
        <w:rPr>
          <w:sz w:val="28"/>
          <w:szCs w:val="28"/>
        </w:rPr>
        <w:t>оказана государственная финансовая поддержка на сумму 6</w:t>
      </w:r>
      <w:r w:rsidR="000A6FF6">
        <w:rPr>
          <w:sz w:val="28"/>
          <w:szCs w:val="28"/>
        </w:rPr>
        <w:t>,</w:t>
      </w:r>
      <w:r w:rsidRPr="001E2017">
        <w:rPr>
          <w:sz w:val="28"/>
          <w:szCs w:val="28"/>
        </w:rPr>
        <w:t xml:space="preserve">8 </w:t>
      </w:r>
      <w:proofErr w:type="spellStart"/>
      <w:r w:rsidR="000A6FF6">
        <w:rPr>
          <w:sz w:val="28"/>
          <w:szCs w:val="28"/>
        </w:rPr>
        <w:t>млн</w:t>
      </w:r>
      <w:r w:rsidRPr="001E2017">
        <w:rPr>
          <w:sz w:val="28"/>
          <w:szCs w:val="28"/>
        </w:rPr>
        <w:t>.руб</w:t>
      </w:r>
      <w:proofErr w:type="spellEnd"/>
      <w:r w:rsidRPr="001E2017">
        <w:rPr>
          <w:sz w:val="28"/>
          <w:szCs w:val="28"/>
        </w:rPr>
        <w:t>. в виде:</w:t>
      </w:r>
    </w:p>
    <w:p w:rsidR="001E2017" w:rsidRPr="001E2017" w:rsidRDefault="001E2017" w:rsidP="001E2017">
      <w:pPr>
        <w:ind w:firstLine="708"/>
        <w:jc w:val="both"/>
        <w:rPr>
          <w:sz w:val="28"/>
          <w:szCs w:val="28"/>
        </w:rPr>
      </w:pPr>
      <w:r w:rsidRPr="001E2017">
        <w:rPr>
          <w:sz w:val="28"/>
          <w:szCs w:val="28"/>
        </w:rPr>
        <w:t xml:space="preserve">- гранта на создание кролиководческой фермы в размере 1 156,0 </w:t>
      </w:r>
      <w:proofErr w:type="spellStart"/>
      <w:r w:rsidRPr="001E2017">
        <w:rPr>
          <w:sz w:val="28"/>
          <w:szCs w:val="28"/>
        </w:rPr>
        <w:t>тыс</w:t>
      </w:r>
      <w:proofErr w:type="gramStart"/>
      <w:r w:rsidRPr="001E2017">
        <w:rPr>
          <w:sz w:val="28"/>
          <w:szCs w:val="28"/>
        </w:rPr>
        <w:t>.р</w:t>
      </w:r>
      <w:proofErr w:type="gramEnd"/>
      <w:r w:rsidRPr="001E2017">
        <w:rPr>
          <w:sz w:val="28"/>
          <w:szCs w:val="28"/>
        </w:rPr>
        <w:t>уб</w:t>
      </w:r>
      <w:proofErr w:type="spellEnd"/>
      <w:r w:rsidRPr="001E2017">
        <w:rPr>
          <w:sz w:val="28"/>
          <w:szCs w:val="28"/>
        </w:rPr>
        <w:t xml:space="preserve">., </w:t>
      </w:r>
    </w:p>
    <w:p w:rsidR="001E2017" w:rsidRPr="001E2017" w:rsidRDefault="001E2017" w:rsidP="001E2017">
      <w:pPr>
        <w:ind w:firstLine="708"/>
        <w:jc w:val="both"/>
        <w:rPr>
          <w:sz w:val="28"/>
          <w:szCs w:val="28"/>
        </w:rPr>
      </w:pPr>
      <w:r w:rsidRPr="001E2017">
        <w:rPr>
          <w:sz w:val="28"/>
          <w:szCs w:val="28"/>
        </w:rPr>
        <w:t xml:space="preserve">- помощи на организацию бизнеса по программе Центра занятости для 12 человек из числа безработных на общую сумму 1 176,0 </w:t>
      </w:r>
      <w:proofErr w:type="spellStart"/>
      <w:r w:rsidRPr="001E2017">
        <w:rPr>
          <w:sz w:val="28"/>
          <w:szCs w:val="28"/>
        </w:rPr>
        <w:t>тыс</w:t>
      </w:r>
      <w:proofErr w:type="gramStart"/>
      <w:r w:rsidRPr="001E2017">
        <w:rPr>
          <w:sz w:val="28"/>
          <w:szCs w:val="28"/>
        </w:rPr>
        <w:t>.р</w:t>
      </w:r>
      <w:proofErr w:type="gramEnd"/>
      <w:r w:rsidRPr="001E2017">
        <w:rPr>
          <w:sz w:val="28"/>
          <w:szCs w:val="28"/>
        </w:rPr>
        <w:t>уб</w:t>
      </w:r>
      <w:proofErr w:type="spellEnd"/>
      <w:r w:rsidRPr="001E2017">
        <w:rPr>
          <w:sz w:val="28"/>
          <w:szCs w:val="28"/>
        </w:rPr>
        <w:t>.;</w:t>
      </w:r>
    </w:p>
    <w:p w:rsidR="001E2017" w:rsidRPr="001E2017" w:rsidRDefault="001E2017" w:rsidP="001E2017">
      <w:pPr>
        <w:ind w:firstLine="708"/>
        <w:jc w:val="both"/>
        <w:rPr>
          <w:sz w:val="28"/>
          <w:szCs w:val="28"/>
        </w:rPr>
      </w:pPr>
      <w:r w:rsidRPr="001E2017">
        <w:rPr>
          <w:sz w:val="28"/>
          <w:szCs w:val="28"/>
        </w:rPr>
        <w:t xml:space="preserve">- 2 </w:t>
      </w:r>
      <w:proofErr w:type="spellStart"/>
      <w:r w:rsidRPr="001E2017">
        <w:rPr>
          <w:sz w:val="28"/>
          <w:szCs w:val="28"/>
        </w:rPr>
        <w:t>микрокредита</w:t>
      </w:r>
      <w:proofErr w:type="spellEnd"/>
      <w:r w:rsidRPr="001E2017">
        <w:rPr>
          <w:sz w:val="28"/>
          <w:szCs w:val="28"/>
        </w:rPr>
        <w:t>, предоставленные Фондом микрофинансирования предпринимательства Республики Крым</w:t>
      </w:r>
      <w:r w:rsidR="000A6FF6">
        <w:rPr>
          <w:sz w:val="28"/>
          <w:szCs w:val="28"/>
        </w:rPr>
        <w:t>,</w:t>
      </w:r>
      <w:r w:rsidRPr="001E2017">
        <w:rPr>
          <w:sz w:val="28"/>
          <w:szCs w:val="28"/>
        </w:rPr>
        <w:t xml:space="preserve"> на сумму 1 150,00 </w:t>
      </w:r>
      <w:proofErr w:type="spellStart"/>
      <w:r w:rsidRPr="001E2017">
        <w:rPr>
          <w:sz w:val="28"/>
          <w:szCs w:val="28"/>
        </w:rPr>
        <w:t>тыс</w:t>
      </w:r>
      <w:proofErr w:type="gramStart"/>
      <w:r w:rsidRPr="001E2017">
        <w:rPr>
          <w:sz w:val="28"/>
          <w:szCs w:val="28"/>
        </w:rPr>
        <w:t>.р</w:t>
      </w:r>
      <w:proofErr w:type="gramEnd"/>
      <w:r w:rsidRPr="001E2017">
        <w:rPr>
          <w:sz w:val="28"/>
          <w:szCs w:val="28"/>
        </w:rPr>
        <w:t>уб</w:t>
      </w:r>
      <w:proofErr w:type="spellEnd"/>
      <w:r w:rsidRPr="001E2017">
        <w:rPr>
          <w:sz w:val="28"/>
          <w:szCs w:val="28"/>
        </w:rPr>
        <w:t>.;</w:t>
      </w:r>
    </w:p>
    <w:p w:rsidR="001E2017" w:rsidRDefault="001E2017" w:rsidP="001E2017">
      <w:pPr>
        <w:ind w:firstLine="708"/>
        <w:jc w:val="both"/>
        <w:rPr>
          <w:sz w:val="28"/>
          <w:szCs w:val="28"/>
        </w:rPr>
      </w:pPr>
      <w:r w:rsidRPr="001E2017">
        <w:rPr>
          <w:sz w:val="28"/>
          <w:szCs w:val="28"/>
        </w:rPr>
        <w:t>- поручительства Крымского гарантийного фонда поддержки предпринимательства на сумму 3 351,0 тыс. руб.</w:t>
      </w:r>
    </w:p>
    <w:p w:rsidR="00EE1D42" w:rsidRPr="001E2017" w:rsidRDefault="00EE1D42" w:rsidP="001E2017">
      <w:pPr>
        <w:ind w:firstLine="708"/>
        <w:jc w:val="both"/>
        <w:rPr>
          <w:sz w:val="28"/>
          <w:szCs w:val="28"/>
        </w:rPr>
      </w:pPr>
    </w:p>
    <w:sectPr w:rsidR="00EE1D42" w:rsidRPr="001E2017" w:rsidSect="00A3486B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FAC"/>
    <w:rsid w:val="00006394"/>
    <w:rsid w:val="000374E7"/>
    <w:rsid w:val="000A6FF6"/>
    <w:rsid w:val="000A71F8"/>
    <w:rsid w:val="000B612E"/>
    <w:rsid w:val="000B629B"/>
    <w:rsid w:val="000C4390"/>
    <w:rsid w:val="000D7119"/>
    <w:rsid w:val="001211B1"/>
    <w:rsid w:val="00131E74"/>
    <w:rsid w:val="00147170"/>
    <w:rsid w:val="00150555"/>
    <w:rsid w:val="001821A6"/>
    <w:rsid w:val="001A634C"/>
    <w:rsid w:val="001C5D42"/>
    <w:rsid w:val="001D2969"/>
    <w:rsid w:val="001D354F"/>
    <w:rsid w:val="001D73E6"/>
    <w:rsid w:val="001E2017"/>
    <w:rsid w:val="001F7CA5"/>
    <w:rsid w:val="0022158C"/>
    <w:rsid w:val="00280D41"/>
    <w:rsid w:val="002A4271"/>
    <w:rsid w:val="002C09EC"/>
    <w:rsid w:val="00376F48"/>
    <w:rsid w:val="00391DD9"/>
    <w:rsid w:val="00392F04"/>
    <w:rsid w:val="003A2670"/>
    <w:rsid w:val="003E5383"/>
    <w:rsid w:val="003F6CCF"/>
    <w:rsid w:val="0043316B"/>
    <w:rsid w:val="00441880"/>
    <w:rsid w:val="00451367"/>
    <w:rsid w:val="00466A0A"/>
    <w:rsid w:val="00490B72"/>
    <w:rsid w:val="004B59C7"/>
    <w:rsid w:val="004C12F7"/>
    <w:rsid w:val="004C45F9"/>
    <w:rsid w:val="005B710D"/>
    <w:rsid w:val="005E6FD4"/>
    <w:rsid w:val="00611E25"/>
    <w:rsid w:val="0062294D"/>
    <w:rsid w:val="00627163"/>
    <w:rsid w:val="00654EE2"/>
    <w:rsid w:val="00667F60"/>
    <w:rsid w:val="00673FAC"/>
    <w:rsid w:val="0069298A"/>
    <w:rsid w:val="006E0B46"/>
    <w:rsid w:val="00737547"/>
    <w:rsid w:val="007B6833"/>
    <w:rsid w:val="007D0995"/>
    <w:rsid w:val="007E42EB"/>
    <w:rsid w:val="00807E0A"/>
    <w:rsid w:val="0081527B"/>
    <w:rsid w:val="0082137D"/>
    <w:rsid w:val="008524E6"/>
    <w:rsid w:val="00864BF9"/>
    <w:rsid w:val="008901EB"/>
    <w:rsid w:val="008B626E"/>
    <w:rsid w:val="008C4BD9"/>
    <w:rsid w:val="008D179B"/>
    <w:rsid w:val="0092768F"/>
    <w:rsid w:val="00951C0E"/>
    <w:rsid w:val="00952A79"/>
    <w:rsid w:val="009C4E58"/>
    <w:rsid w:val="009F7B76"/>
    <w:rsid w:val="00A3486B"/>
    <w:rsid w:val="00A54BAD"/>
    <w:rsid w:val="00AA4030"/>
    <w:rsid w:val="00AA5494"/>
    <w:rsid w:val="00AD6B3B"/>
    <w:rsid w:val="00AF6171"/>
    <w:rsid w:val="00B12EAA"/>
    <w:rsid w:val="00B26F23"/>
    <w:rsid w:val="00B42E3B"/>
    <w:rsid w:val="00B53B68"/>
    <w:rsid w:val="00B60071"/>
    <w:rsid w:val="00B77C2A"/>
    <w:rsid w:val="00B8219C"/>
    <w:rsid w:val="00B87172"/>
    <w:rsid w:val="00BC3515"/>
    <w:rsid w:val="00C0446F"/>
    <w:rsid w:val="00C055AF"/>
    <w:rsid w:val="00C25B18"/>
    <w:rsid w:val="00C60F07"/>
    <w:rsid w:val="00C70412"/>
    <w:rsid w:val="00D05A2E"/>
    <w:rsid w:val="00D14803"/>
    <w:rsid w:val="00D82BC7"/>
    <w:rsid w:val="00D83069"/>
    <w:rsid w:val="00DD277C"/>
    <w:rsid w:val="00E171DC"/>
    <w:rsid w:val="00E54D77"/>
    <w:rsid w:val="00E55E19"/>
    <w:rsid w:val="00E919BE"/>
    <w:rsid w:val="00ED6320"/>
    <w:rsid w:val="00EE1D42"/>
    <w:rsid w:val="00F377E7"/>
    <w:rsid w:val="00F57985"/>
    <w:rsid w:val="00F74B6B"/>
    <w:rsid w:val="00F8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32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D6320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1F7C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7CA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uiPriority w:val="35"/>
    <w:unhideWhenUsed/>
    <w:qFormat/>
    <w:rsid w:val="003E5383"/>
    <w:pPr>
      <w:spacing w:after="200"/>
    </w:pPr>
    <w:rPr>
      <w:b/>
      <w:bCs/>
      <w:color w:val="4F81BD" w:themeColor="accent1"/>
      <w:sz w:val="18"/>
      <w:szCs w:val="18"/>
    </w:rPr>
  </w:style>
  <w:style w:type="table" w:styleId="a7">
    <w:name w:val="Table Grid"/>
    <w:basedOn w:val="a1"/>
    <w:uiPriority w:val="59"/>
    <w:rsid w:val="007375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32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D6320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1F7C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7CA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uiPriority w:val="35"/>
    <w:unhideWhenUsed/>
    <w:qFormat/>
    <w:rsid w:val="003E5383"/>
    <w:pPr>
      <w:spacing w:after="200"/>
    </w:pPr>
    <w:rPr>
      <w:b/>
      <w:bCs/>
      <w:color w:val="4F81BD" w:themeColor="accent1"/>
      <w:sz w:val="18"/>
      <w:szCs w:val="18"/>
    </w:rPr>
  </w:style>
  <w:style w:type="table" w:styleId="a7">
    <w:name w:val="Table Grid"/>
    <w:basedOn w:val="a1"/>
    <w:uiPriority w:val="59"/>
    <w:rsid w:val="007375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2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7183378139508624"/>
          <c:y val="0.29040980422683832"/>
          <c:w val="0.41316476515587514"/>
          <c:h val="0.51390289814731804"/>
        </c:manualLayout>
      </c:layout>
      <c:pie3DChart>
        <c:varyColors val="1"/>
        <c:ser>
          <c:idx val="0"/>
          <c:order val="0"/>
          <c:explosion val="5"/>
          <c:dLbls>
            <c:dLbl>
              <c:idx val="3"/>
              <c:layout>
                <c:manualLayout>
                  <c:x val="7.76315659187609E-2"/>
                  <c:y val="-1.90560627094198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Лист1!$B$2:$B$13</c:f>
              <c:strCache>
                <c:ptCount val="12"/>
                <c:pt idx="0">
                  <c:v>сельское хозяйство </c:v>
                </c:pt>
                <c:pt idx="1">
                  <c:v>производство (легкая промышленность)</c:v>
                </c:pt>
                <c:pt idx="2">
                  <c:v>деятельность транспорта</c:v>
                </c:pt>
                <c:pt idx="3">
                  <c:v>торговля</c:v>
                </c:pt>
                <c:pt idx="4">
                  <c:v>строительство</c:v>
                </c:pt>
                <c:pt idx="5">
                  <c:v>туризм</c:v>
                </c:pt>
                <c:pt idx="6">
                  <c:v>предоставление бытовых услуг</c:v>
                </c:pt>
                <c:pt idx="7">
                  <c:v>общественное питание</c:v>
                </c:pt>
                <c:pt idx="8">
                  <c:v>операции с недвижимым имуществом</c:v>
                </c:pt>
                <c:pt idx="9">
                  <c:v>услуги в сфере права, бухгалтерского учета, архитектуры, инженерных изысканий</c:v>
                </c:pt>
                <c:pt idx="10">
                  <c:v>услуги в сфере развлечений</c:v>
                </c:pt>
                <c:pt idx="11">
                  <c:v>прочие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20</c:v>
                </c:pt>
                <c:pt idx="1">
                  <c:v>38</c:v>
                </c:pt>
                <c:pt idx="2">
                  <c:v>70</c:v>
                </c:pt>
                <c:pt idx="3">
                  <c:v>522</c:v>
                </c:pt>
                <c:pt idx="4">
                  <c:v>34</c:v>
                </c:pt>
                <c:pt idx="5">
                  <c:v>81</c:v>
                </c:pt>
                <c:pt idx="6">
                  <c:v>51</c:v>
                </c:pt>
                <c:pt idx="7">
                  <c:v>101</c:v>
                </c:pt>
                <c:pt idx="8">
                  <c:v>150</c:v>
                </c:pt>
                <c:pt idx="9">
                  <c:v>24</c:v>
                </c:pt>
                <c:pt idx="10">
                  <c:v>16</c:v>
                </c:pt>
                <c:pt idx="11">
                  <c:v>83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160"/>
      <c:depthPercent val="100"/>
      <c:rAngAx val="0"/>
      <c:perspective val="2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657517253879458"/>
          <c:y val="0.20513910270103047"/>
          <c:w val="0.44011323823375581"/>
          <c:h val="0.55224472057924467"/>
        </c:manualLayout>
      </c:layout>
      <c:pie3DChart>
        <c:varyColors val="1"/>
        <c:ser>
          <c:idx val="0"/>
          <c:order val="0"/>
          <c:explosion val="10"/>
          <c:dLbls>
            <c:dLbl>
              <c:idx val="0"/>
              <c:layout>
                <c:manualLayout>
                  <c:x val="-9.757637659334252E-2"/>
                  <c:y val="8.994435626719303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5.7894723548624696E-2"/>
                  <c:y val="2.713617063587050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4.3826038772767549E-2"/>
                  <c:y val="-4.439014689798157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5.8375006775840434E-2"/>
                  <c:y val="-0.1437810487241713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3.3206397126329529E-2"/>
                  <c:y val="-0.1034189041388478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0.15889724185090684"/>
                  <c:y val="-0.2263646708328883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0.14867762943678223"/>
                  <c:y val="-9.558532714169450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0.23036736515610073"/>
                  <c:y val="0.1276340549955993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4.7730748137956532E-2"/>
                  <c:y val="0.1590129221613778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9"/>
              <c:layout>
                <c:manualLayout>
                  <c:x val="-0.17117241843742736"/>
                  <c:y val="8.965085491016354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0"/>
              <c:layout>
                <c:manualLayout>
                  <c:x val="-7.4232662788542403E-2"/>
                  <c:y val="-0.11864381192960916"/>
                </c:manualLayout>
              </c:layout>
              <c:tx>
                <c:rich>
                  <a:bodyPr/>
                  <a:lstStyle/>
                  <a:p>
                    <a:r>
                      <a:rPr lang="ru-RU" sz="800" baseline="0"/>
                      <a:t>прочие виды
6%</a:t>
                    </a:r>
                    <a:endParaRPr lang="ru-RU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800" baseline="0"/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Лист1!$B$2:$B$11</c:f>
              <c:strCache>
                <c:ptCount val="10"/>
                <c:pt idx="0">
                  <c:v>Сельское, лесное хозяйство, охота, рыболовство и рыбоводство</c:v>
                </c:pt>
                <c:pt idx="1">
                  <c:v>Транспортировка и хранение</c:v>
                </c:pt>
                <c:pt idx="2">
                  <c:v>Обрабатывающие производства</c:v>
                </c:pt>
                <c:pt idx="3">
                  <c:v>Строительство</c:v>
                </c:pt>
                <c:pt idx="4">
                  <c:v>Торговля оптовая и розничная; ремонт автотранспортных средств и мотоциклов</c:v>
                </c:pt>
                <c:pt idx="5">
                  <c:v>Деятельность гостиниц и предприятий общественного питания</c:v>
                </c:pt>
                <c:pt idx="6">
                  <c:v>Деятельность в области информации и связи</c:v>
                </c:pt>
                <c:pt idx="7">
                  <c:v>Деятельность финансовая и страховая</c:v>
                </c:pt>
                <c:pt idx="8">
                  <c:v>Деятельность по операциям с недвижимым имуществом</c:v>
                </c:pt>
                <c:pt idx="9">
                  <c:v>Деятельность в области культуры, спорта, организации досуга и развлечений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935</c:v>
                </c:pt>
                <c:pt idx="1">
                  <c:v>126</c:v>
                </c:pt>
                <c:pt idx="2">
                  <c:v>358</c:v>
                </c:pt>
                <c:pt idx="3">
                  <c:v>21</c:v>
                </c:pt>
                <c:pt idx="4">
                  <c:v>278</c:v>
                </c:pt>
                <c:pt idx="5">
                  <c:v>339</c:v>
                </c:pt>
                <c:pt idx="6">
                  <c:v>27</c:v>
                </c:pt>
                <c:pt idx="7">
                  <c:v>22</c:v>
                </c:pt>
                <c:pt idx="8">
                  <c:v>7</c:v>
                </c:pt>
                <c:pt idx="9">
                  <c:v>179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k214</cp:lastModifiedBy>
  <cp:revision>30</cp:revision>
  <dcterms:created xsi:type="dcterms:W3CDTF">2018-10-16T12:00:00Z</dcterms:created>
  <dcterms:modified xsi:type="dcterms:W3CDTF">2021-04-27T08:43:00Z</dcterms:modified>
</cp:coreProperties>
</file>