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96" w:rsidRPr="0066486A" w:rsidRDefault="000C2196" w:rsidP="0066486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CRC55" w:hAnsi="CRC55"/>
          <w:color w:val="333333"/>
          <w:sz w:val="26"/>
          <w:szCs w:val="26"/>
        </w:rPr>
      </w:pPr>
      <w:r w:rsidRPr="0066486A">
        <w:rPr>
          <w:rFonts w:ascii="CRC55" w:hAnsi="CRC55"/>
          <w:color w:val="333333"/>
          <w:sz w:val="26"/>
          <w:szCs w:val="26"/>
        </w:rPr>
        <w:t>АО</w:t>
      </w:r>
      <w:r w:rsidR="00145478" w:rsidRPr="0066486A">
        <w:rPr>
          <w:rFonts w:ascii="CRC55" w:hAnsi="CRC55"/>
          <w:color w:val="333333"/>
          <w:sz w:val="26"/>
          <w:szCs w:val="26"/>
        </w:rPr>
        <w:t xml:space="preserve"> «Федеральная корпорация по развитию малого и среднего предпринимательства» </w:t>
      </w:r>
      <w:r w:rsidRPr="0066486A">
        <w:rPr>
          <w:rFonts w:ascii="CRC55" w:hAnsi="CRC55"/>
          <w:color w:val="333333"/>
          <w:sz w:val="26"/>
          <w:szCs w:val="26"/>
        </w:rPr>
        <w:t>оказывает финансовую поддержку</w:t>
      </w:r>
      <w:r w:rsidR="00273403">
        <w:rPr>
          <w:rFonts w:ascii="CRC55" w:hAnsi="CRC55"/>
          <w:color w:val="333333"/>
          <w:sz w:val="26"/>
          <w:szCs w:val="26"/>
        </w:rPr>
        <w:t xml:space="preserve"> субъектам предпринимательской деятельности</w:t>
      </w:r>
      <w:r w:rsidRPr="0066486A">
        <w:rPr>
          <w:rFonts w:ascii="CRC55" w:hAnsi="CRC55"/>
          <w:color w:val="333333"/>
          <w:sz w:val="26"/>
          <w:szCs w:val="26"/>
        </w:rPr>
        <w:t xml:space="preserve"> по 2 направлениям:</w:t>
      </w:r>
    </w:p>
    <w:p w:rsidR="00145478" w:rsidRPr="0066486A" w:rsidRDefault="000C2196" w:rsidP="001B21B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CRC55" w:hAnsi="CRC55"/>
          <w:color w:val="333333"/>
          <w:sz w:val="26"/>
          <w:szCs w:val="26"/>
        </w:rPr>
      </w:pPr>
      <w:r w:rsidRPr="0066486A">
        <w:rPr>
          <w:rFonts w:ascii="CRC55" w:hAnsi="CRC55"/>
          <w:color w:val="333333"/>
          <w:sz w:val="26"/>
          <w:szCs w:val="26"/>
        </w:rPr>
        <w:t xml:space="preserve">- </w:t>
      </w:r>
      <w:r w:rsidRPr="0066486A">
        <w:rPr>
          <w:sz w:val="26"/>
          <w:szCs w:val="26"/>
        </w:rPr>
        <w:t>Предоставление независимых гарантий Корпорации для обеспечения кредитов субъектов МСП в банках-партнерах и организациях-партнерах</w:t>
      </w:r>
      <w:r w:rsidR="00273403">
        <w:rPr>
          <w:sz w:val="26"/>
          <w:szCs w:val="26"/>
        </w:rPr>
        <w:t xml:space="preserve"> (описание в презентации)</w:t>
      </w:r>
      <w:r w:rsidR="00145478" w:rsidRPr="0066486A">
        <w:rPr>
          <w:rFonts w:ascii="CRC55" w:hAnsi="CRC55"/>
          <w:color w:val="333333"/>
          <w:sz w:val="26"/>
          <w:szCs w:val="26"/>
        </w:rPr>
        <w:t>.</w:t>
      </w:r>
    </w:p>
    <w:p w:rsidR="00606627" w:rsidRPr="0066486A" w:rsidRDefault="00606627" w:rsidP="001B21B9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CRC55" w:hAnsi="CRC55"/>
          <w:color w:val="333333"/>
          <w:sz w:val="26"/>
          <w:szCs w:val="26"/>
        </w:rPr>
      </w:pPr>
      <w:r w:rsidRPr="0066486A">
        <w:rPr>
          <w:rFonts w:ascii="CRC55" w:hAnsi="CRC55"/>
          <w:color w:val="333333"/>
          <w:sz w:val="26"/>
          <w:szCs w:val="26"/>
        </w:rPr>
        <w:t xml:space="preserve">- </w:t>
      </w:r>
      <w:r w:rsidRPr="0066486A">
        <w:rPr>
          <w:sz w:val="26"/>
          <w:szCs w:val="26"/>
        </w:rPr>
        <w:t xml:space="preserve">Программа стимулирования кредитования субъектов малого и среднего предпринимательства </w:t>
      </w:r>
      <w:r w:rsidRPr="0066486A">
        <w:rPr>
          <w:b/>
          <w:sz w:val="26"/>
          <w:szCs w:val="26"/>
        </w:rPr>
        <w:t>«ПРОГРАММА 6,5»</w:t>
      </w:r>
    </w:p>
    <w:p w:rsidR="00145478" w:rsidRPr="0066486A" w:rsidRDefault="00334630" w:rsidP="0066486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CRC55" w:hAnsi="CRC55"/>
          <w:color w:val="333333"/>
          <w:sz w:val="26"/>
          <w:szCs w:val="26"/>
        </w:rPr>
      </w:pPr>
      <w:proofErr w:type="gramStart"/>
      <w:r w:rsidRPr="0066486A">
        <w:rPr>
          <w:rFonts w:ascii="CRC55" w:hAnsi="CRC55"/>
          <w:color w:val="333333"/>
          <w:sz w:val="26"/>
          <w:szCs w:val="26"/>
        </w:rPr>
        <w:t>Б</w:t>
      </w:r>
      <w:r w:rsidR="00145478" w:rsidRPr="0066486A">
        <w:rPr>
          <w:rFonts w:ascii="CRC55" w:hAnsi="CRC55"/>
          <w:color w:val="333333"/>
          <w:sz w:val="26"/>
          <w:szCs w:val="26"/>
        </w:rPr>
        <w:t>анк</w:t>
      </w:r>
      <w:r w:rsidR="004E4687" w:rsidRPr="0066486A">
        <w:rPr>
          <w:rFonts w:ascii="CRC55" w:hAnsi="CRC55"/>
          <w:color w:val="333333"/>
          <w:sz w:val="26"/>
          <w:szCs w:val="26"/>
        </w:rPr>
        <w:t>ом</w:t>
      </w:r>
      <w:proofErr w:type="gramEnd"/>
      <w:r w:rsidR="00145478" w:rsidRPr="0066486A">
        <w:rPr>
          <w:rFonts w:ascii="CRC55" w:hAnsi="CRC55"/>
          <w:color w:val="333333"/>
          <w:sz w:val="26"/>
          <w:szCs w:val="26"/>
        </w:rPr>
        <w:t xml:space="preserve"> </w:t>
      </w:r>
      <w:r w:rsidR="004E4687" w:rsidRPr="0066486A">
        <w:rPr>
          <w:rFonts w:ascii="CRC55" w:hAnsi="CRC55"/>
          <w:color w:val="333333"/>
          <w:sz w:val="26"/>
          <w:szCs w:val="26"/>
        </w:rPr>
        <w:t>аккредитованны</w:t>
      </w:r>
      <w:r w:rsidR="004E4687" w:rsidRPr="0066486A">
        <w:rPr>
          <w:rFonts w:ascii="CRC55" w:hAnsi="CRC55"/>
          <w:color w:val="333333"/>
          <w:sz w:val="26"/>
          <w:szCs w:val="26"/>
        </w:rPr>
        <w:t>м</w:t>
      </w:r>
      <w:r w:rsidR="004E4687" w:rsidRPr="0066486A">
        <w:rPr>
          <w:rFonts w:ascii="CRC55" w:hAnsi="CRC55"/>
          <w:color w:val="333333"/>
          <w:sz w:val="26"/>
          <w:szCs w:val="26"/>
        </w:rPr>
        <w:t xml:space="preserve"> по </w:t>
      </w:r>
      <w:hyperlink r:id="rId6" w:history="1">
        <w:r w:rsidR="004E4687" w:rsidRPr="0066486A">
          <w:rPr>
            <w:color w:val="333333"/>
            <w:sz w:val="26"/>
            <w:szCs w:val="26"/>
          </w:rPr>
          <w:t>Программе «6,5»</w:t>
        </w:r>
      </w:hyperlink>
      <w:r w:rsidR="004E4687" w:rsidRPr="0066486A">
        <w:rPr>
          <w:rFonts w:ascii="CRC55" w:hAnsi="CRC55"/>
          <w:color w:val="333333"/>
          <w:sz w:val="26"/>
          <w:szCs w:val="26"/>
        </w:rPr>
        <w:t xml:space="preserve"> </w:t>
      </w:r>
      <w:r w:rsidR="00145478" w:rsidRPr="0066486A">
        <w:rPr>
          <w:rFonts w:ascii="CRC55" w:hAnsi="CRC55"/>
          <w:color w:val="333333"/>
          <w:sz w:val="26"/>
          <w:szCs w:val="26"/>
        </w:rPr>
        <w:t xml:space="preserve">на территории Республики Крым </w:t>
      </w:r>
      <w:r w:rsidR="004E4687" w:rsidRPr="0066486A">
        <w:rPr>
          <w:rFonts w:ascii="CRC55" w:hAnsi="CRC55"/>
          <w:color w:val="333333"/>
          <w:sz w:val="26"/>
          <w:szCs w:val="26"/>
        </w:rPr>
        <w:t xml:space="preserve">является </w:t>
      </w:r>
      <w:r w:rsidR="004E4687" w:rsidRPr="0066486A">
        <w:rPr>
          <w:rFonts w:ascii="CRC55" w:hAnsi="CRC55"/>
          <w:color w:val="333333"/>
          <w:sz w:val="26"/>
          <w:szCs w:val="26"/>
        </w:rPr>
        <w:t>РНКБ Банк</w:t>
      </w:r>
      <w:r w:rsidR="00AB1874" w:rsidRPr="0066486A">
        <w:rPr>
          <w:rFonts w:ascii="CRC55" w:hAnsi="CRC55"/>
          <w:color w:val="333333"/>
          <w:sz w:val="26"/>
          <w:szCs w:val="26"/>
        </w:rPr>
        <w:t>.</w:t>
      </w:r>
    </w:p>
    <w:p w:rsidR="00D72D24" w:rsidRPr="00D72D24" w:rsidRDefault="00532AE2" w:rsidP="00D72D2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CRC55" w:eastAsia="Times New Roman" w:hAnsi="CRC55" w:cs="Times New Roman"/>
          <w:color w:val="333333"/>
          <w:sz w:val="26"/>
          <w:szCs w:val="26"/>
          <w:lang w:eastAsia="ru-RU"/>
        </w:rPr>
        <w:t xml:space="preserve">Условия </w:t>
      </w:r>
      <w:r w:rsidRPr="004E4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кредитования</w:t>
      </w:r>
      <w:r w:rsidR="004E4687" w:rsidRPr="004E4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</w:t>
      </w:r>
      <w:hyperlink r:id="rId7" w:history="1">
        <w:r w:rsidR="004E4687" w:rsidRPr="004E4687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Программе «6,5»</w:t>
        </w:r>
      </w:hyperlink>
      <w:r w:rsidRPr="004E4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7513"/>
      </w:tblGrid>
      <w:tr w:rsidR="00351F04" w:rsidRPr="00D72D24" w:rsidTr="00AD24E1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F04" w:rsidRPr="00D72D24" w:rsidRDefault="00351F04" w:rsidP="00AD24E1">
            <w:pPr>
              <w:spacing w:line="240" w:lineRule="auto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Размер кредита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51F04" w:rsidRPr="00D72D24" w:rsidRDefault="00351F0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не менее 5 </w:t>
            </w:r>
            <w:proofErr w:type="gramStart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млн</w:t>
            </w:r>
            <w:proofErr w:type="gramEnd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 рублей и не более 1 млрд рублей;</w:t>
            </w:r>
          </w:p>
          <w:p w:rsidR="00351F04" w:rsidRPr="00D72D24" w:rsidRDefault="00351F0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общий размер кредитных средств, привлеченных одним конечным заемщиком в рамках Программы от различных Уполномоченных банков, не может превышать 4 </w:t>
            </w:r>
            <w:proofErr w:type="gramStart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млрд</w:t>
            </w:r>
            <w:proofErr w:type="gramEnd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 рублей.</w:t>
            </w:r>
          </w:p>
        </w:tc>
      </w:tr>
      <w:tr w:rsidR="006C4F7C" w:rsidRPr="00D72D24" w:rsidTr="006C4F7C">
        <w:trPr>
          <w:trHeight w:val="1357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4F7C" w:rsidRPr="00D72D24" w:rsidRDefault="006C4F7C" w:rsidP="008F6062">
            <w:pPr>
              <w:spacing w:line="240" w:lineRule="auto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Процентные ставки по кредитам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4F7C" w:rsidRPr="00D72D24" w:rsidRDefault="006C4F7C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для субъектов среднего предпринимательства</w:t>
            </w:r>
            <w:r w:rsidR="00280B9C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*</w:t>
            </w: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 – 9,6% годовых в течение первых трех лет кредитования, далее – на рыночных условиях;</w:t>
            </w:r>
          </w:p>
          <w:p w:rsidR="006C4F7C" w:rsidRPr="00D72D24" w:rsidRDefault="006C4F7C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для субъектов малого предпринимательства</w:t>
            </w:r>
            <w:r w:rsidR="00280B9C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*</w:t>
            </w: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 – 10,6% годовых в течение первых трех лет кредитования, далее – на рыночных условиях.</w:t>
            </w:r>
          </w:p>
        </w:tc>
      </w:tr>
      <w:tr w:rsidR="006E1ED7" w:rsidRPr="00D72D24" w:rsidTr="006E6F1A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1ED7" w:rsidRPr="00D72D24" w:rsidRDefault="006E1ED7" w:rsidP="006E6F1A">
            <w:pPr>
              <w:spacing w:line="240" w:lineRule="auto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Сроки кредитования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E1ED7" w:rsidRDefault="006E1ED7" w:rsidP="006E6F1A">
            <w:pPr>
              <w:spacing w:after="150" w:line="240" w:lineRule="auto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Кредиты предоставляются на срок до </w:t>
            </w:r>
            <w:r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3</w:t>
            </w: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 лет в рамках действующей «Программы 6,5». </w:t>
            </w:r>
          </w:p>
          <w:p w:rsidR="00D72D24" w:rsidRPr="00D72D24" w:rsidRDefault="006E1ED7" w:rsidP="006E6F1A">
            <w:pPr>
              <w:spacing w:line="240" w:lineRule="auto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Кредитование на срок свыше 3 лет возможно при последующем увеличении ставки до рыночного уровня.</w:t>
            </w:r>
          </w:p>
        </w:tc>
      </w:tr>
      <w:tr w:rsidR="00D72D24" w:rsidRPr="00D72D24" w:rsidTr="00D72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D72D24">
            <w:pPr>
              <w:spacing w:after="450" w:line="240" w:lineRule="auto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Целевое использование кредитов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инвестиционные цели – финансирование мероприятий по приобретению основных средств, модернизации и реконструкции производства, запуску новых проектов/производств. Допускается финансирование текущих расходов, связанных с реализацией инвестиционного проекта (не более 30% от совокупной величины инвестиционных кредитов);</w:t>
            </w:r>
          </w:p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04"/>
              </w:tabs>
              <w:spacing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Пополнение оборотных средств (только для предприятий Неторгового сектора).</w:t>
            </w:r>
          </w:p>
        </w:tc>
      </w:tr>
      <w:tr w:rsidR="00D72D24" w:rsidRPr="00D72D24" w:rsidTr="00D72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D72D24">
            <w:pPr>
              <w:spacing w:line="240" w:lineRule="auto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Форма кредитования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кредит;</w:t>
            </w:r>
          </w:p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proofErr w:type="spellStart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невозобновляемая</w:t>
            </w:r>
            <w:proofErr w:type="spellEnd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 кредитная линия;</w:t>
            </w:r>
          </w:p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возобновляемая кредитная линия.</w:t>
            </w:r>
          </w:p>
        </w:tc>
      </w:tr>
      <w:tr w:rsidR="00D72D24" w:rsidRPr="00D72D24" w:rsidTr="006C4F7C">
        <w:trPr>
          <w:trHeight w:val="20"/>
        </w:trPr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D72D24">
            <w:pPr>
              <w:spacing w:line="240" w:lineRule="auto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Доля финансирования инвестиционного проекта за счет заемных средств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не более 80% – для инвестиционных кредитов в размере более 500 </w:t>
            </w:r>
            <w:proofErr w:type="gramStart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млн</w:t>
            </w:r>
            <w:proofErr w:type="gramEnd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 рублей и инвестиционных кредитов независимо от размера кредита, погашение основного долга по которым предусматривается за счет денежного потока, производимого за счет реализации цели кредитования без учета доходов от текущей деятельности конечного заемщика;</w:t>
            </w:r>
          </w:p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без ограничений - для прочих инвестиционных проектов.</w:t>
            </w:r>
          </w:p>
        </w:tc>
      </w:tr>
      <w:tr w:rsidR="00D72D24" w:rsidRPr="00D72D24" w:rsidTr="00D72D24"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D72D24">
            <w:pPr>
              <w:spacing w:line="240" w:lineRule="auto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lastRenderedPageBreak/>
              <w:t>Требования к инвестиционным проектам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для инвестиционных кредитов в размере более 500 </w:t>
            </w:r>
            <w:proofErr w:type="gramStart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млн</w:t>
            </w:r>
            <w:proofErr w:type="gramEnd"/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 xml:space="preserve"> рублей и инвестиционных кредитов, независимо от размера кредита, погашение основного долга по которым предусматривается за счет денежного потока, производимого за счет реализации цели кредитования без учета доходов от текущей деятельности конечного заемщика:</w:t>
            </w:r>
          </w:p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чистая приведенная стоимость инвестиционного проекта является положительной;</w:t>
            </w:r>
          </w:p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before="100" w:beforeAutospacing="1" w:after="100" w:afterAutospacing="1"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внутренняя норма рентабельности превышает выбранную ставку дисконтирования.</w:t>
            </w:r>
          </w:p>
          <w:p w:rsidR="00D72D24" w:rsidRPr="00D72D24" w:rsidRDefault="00D72D24" w:rsidP="006C0FC7">
            <w:pPr>
              <w:numPr>
                <w:ilvl w:val="0"/>
                <w:numId w:val="1"/>
              </w:numPr>
              <w:tabs>
                <w:tab w:val="clear" w:pos="720"/>
                <w:tab w:val="num" w:pos="-8"/>
                <w:tab w:val="left" w:pos="219"/>
              </w:tabs>
              <w:spacing w:line="240" w:lineRule="auto"/>
              <w:ind w:left="-8" w:firstLine="0"/>
              <w:jc w:val="both"/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</w:pPr>
            <w:r w:rsidRPr="00D72D24">
              <w:rPr>
                <w:rFonts w:ascii="CRC55" w:eastAsia="Times New Roman" w:hAnsi="CRC55" w:cs="Times New Roman"/>
                <w:sz w:val="26"/>
                <w:szCs w:val="26"/>
                <w:lang w:eastAsia="ru-RU"/>
              </w:rPr>
              <w:t>для прочих инвестиционных проектов требования не устанавливаются.</w:t>
            </w:r>
          </w:p>
        </w:tc>
      </w:tr>
    </w:tbl>
    <w:p w:rsidR="006A3CED" w:rsidRPr="00CC4167" w:rsidRDefault="003A532A" w:rsidP="00351F04">
      <w:pPr>
        <w:tabs>
          <w:tab w:val="left" w:pos="709"/>
        </w:tabs>
        <w:spacing w:line="240" w:lineRule="auto"/>
        <w:ind w:left="-8"/>
        <w:rPr>
          <w:rFonts w:ascii="CRC55" w:eastAsia="Times New Roman" w:hAnsi="CRC55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1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="006A3CED">
        <w:rPr>
          <w:rFonts w:ascii="CRC55" w:eastAsia="Times New Roman" w:hAnsi="CRC55" w:cs="Times New Roman" w:hint="eastAsia"/>
          <w:sz w:val="26"/>
          <w:szCs w:val="26"/>
          <w:lang w:eastAsia="ru-RU"/>
        </w:rPr>
        <w:t>С</w:t>
      </w:r>
      <w:r w:rsidR="006A3CED">
        <w:rPr>
          <w:rFonts w:ascii="CRC55" w:eastAsia="Times New Roman" w:hAnsi="CRC55" w:cs="Times New Roman"/>
          <w:sz w:val="26"/>
          <w:szCs w:val="26"/>
          <w:lang w:eastAsia="ru-RU"/>
        </w:rPr>
        <w:t xml:space="preserve">убъект малого и среднего предпринимательства </w:t>
      </w:r>
      <w:r w:rsidR="006A3CED" w:rsidRPr="00CC4167">
        <w:rPr>
          <w:rFonts w:ascii="CRC55" w:eastAsia="Times New Roman" w:hAnsi="CRC55" w:cs="Times New Roman"/>
          <w:sz w:val="26"/>
          <w:szCs w:val="26"/>
          <w:lang w:eastAsia="ru-RU"/>
        </w:rPr>
        <w:t>согласно Федеральному закону от 24.07.2007 года № 209-ФЗ «О развитии малого и среднего предпринимательства в Российской Федерации»:</w:t>
      </w:r>
    </w:p>
    <w:p w:rsidR="006A3CED" w:rsidRPr="00CC4167" w:rsidRDefault="006A3CED" w:rsidP="00351F04">
      <w:pPr>
        <w:numPr>
          <w:ilvl w:val="0"/>
          <w:numId w:val="1"/>
        </w:numPr>
        <w:tabs>
          <w:tab w:val="clear" w:pos="720"/>
          <w:tab w:val="num" w:pos="-8"/>
          <w:tab w:val="left" w:pos="219"/>
          <w:tab w:val="left" w:pos="851"/>
        </w:tabs>
        <w:spacing w:line="240" w:lineRule="auto"/>
        <w:ind w:left="-8" w:firstLine="717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  <w:proofErr w:type="gramStart"/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Потребительский кооператив, коммерческая организация (за исключением государственных и муниципальных унитарных предприятий), внесенные в ЕГРЮЛ, у которых суммарная доля участия РФ, субъектов РФ,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не должна превышать 25% (за исключением активов акционерных инвестиционных фондов и закрытых паевых инвестиционных фондов), доля участия, принадлежащая</w:t>
      </w:r>
      <w:proofErr w:type="gramEnd"/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 xml:space="preserve"> одному или нескольким юридическим лицам, не являющимся субъектами малого и среднего предпринимательства, не должна превышать 25%.</w:t>
      </w:r>
    </w:p>
    <w:p w:rsidR="006A3CED" w:rsidRPr="00CC4167" w:rsidRDefault="006A3CED" w:rsidP="00532AE2">
      <w:pPr>
        <w:numPr>
          <w:ilvl w:val="0"/>
          <w:numId w:val="1"/>
        </w:numPr>
        <w:tabs>
          <w:tab w:val="clear" w:pos="720"/>
          <w:tab w:val="num" w:pos="-8"/>
          <w:tab w:val="left" w:pos="219"/>
          <w:tab w:val="left" w:pos="851"/>
        </w:tabs>
        <w:spacing w:line="240" w:lineRule="auto"/>
        <w:ind w:left="-8" w:firstLine="717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Средняя численность работников за предшествующий календарный год не должна превышать:</w:t>
      </w:r>
    </w:p>
    <w:p w:rsidR="006A3CED" w:rsidRPr="00CC4167" w:rsidRDefault="006A3CED" w:rsidP="00532AE2">
      <w:pPr>
        <w:numPr>
          <w:ilvl w:val="0"/>
          <w:numId w:val="10"/>
        </w:numPr>
        <w:tabs>
          <w:tab w:val="left" w:pos="219"/>
          <w:tab w:val="left" w:pos="851"/>
        </w:tabs>
        <w:spacing w:line="240" w:lineRule="auto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от 101 до 250 человек включительно для средних предприятий;</w:t>
      </w:r>
    </w:p>
    <w:p w:rsidR="006A3CED" w:rsidRDefault="006A3CED" w:rsidP="00532AE2">
      <w:pPr>
        <w:numPr>
          <w:ilvl w:val="0"/>
          <w:numId w:val="10"/>
        </w:numPr>
        <w:tabs>
          <w:tab w:val="left" w:pos="219"/>
          <w:tab w:val="left" w:pos="851"/>
        </w:tabs>
        <w:spacing w:line="240" w:lineRule="auto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до 100 человек включительно для малых предприятий.</w:t>
      </w:r>
    </w:p>
    <w:p w:rsidR="00532AE2" w:rsidRPr="00CC4167" w:rsidRDefault="00532AE2" w:rsidP="00532AE2">
      <w:pPr>
        <w:tabs>
          <w:tab w:val="left" w:pos="219"/>
          <w:tab w:val="left" w:pos="851"/>
        </w:tabs>
        <w:spacing w:line="240" w:lineRule="auto"/>
        <w:ind w:left="720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</w:p>
    <w:p w:rsidR="006A3CED" w:rsidRPr="00CC4167" w:rsidRDefault="006A3CED" w:rsidP="00532AE2">
      <w:pPr>
        <w:numPr>
          <w:ilvl w:val="0"/>
          <w:numId w:val="1"/>
        </w:numPr>
        <w:tabs>
          <w:tab w:val="clear" w:pos="720"/>
          <w:tab w:val="num" w:pos="-8"/>
          <w:tab w:val="left" w:pos="219"/>
          <w:tab w:val="left" w:pos="851"/>
        </w:tabs>
        <w:spacing w:line="240" w:lineRule="auto"/>
        <w:ind w:left="-8" w:firstLine="717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Предельные значения выручки от реализации товаров (работ, услуг) за предшествующий календарный год без учета налога на добавленную стоимость составляют не более:</w:t>
      </w:r>
    </w:p>
    <w:p w:rsidR="006A3CED" w:rsidRPr="00CC4167" w:rsidRDefault="006A3CED" w:rsidP="00532AE2">
      <w:pPr>
        <w:numPr>
          <w:ilvl w:val="0"/>
          <w:numId w:val="11"/>
        </w:numPr>
        <w:tabs>
          <w:tab w:val="left" w:pos="219"/>
          <w:tab w:val="left" w:pos="851"/>
        </w:tabs>
        <w:spacing w:line="240" w:lineRule="auto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 xml:space="preserve">малые предприятия – 800 </w:t>
      </w:r>
      <w:proofErr w:type="gramStart"/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млн</w:t>
      </w:r>
      <w:proofErr w:type="gramEnd"/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 xml:space="preserve"> рублей;</w:t>
      </w:r>
    </w:p>
    <w:p w:rsidR="006A3CED" w:rsidRPr="00CC4167" w:rsidRDefault="006A3CED" w:rsidP="00532AE2">
      <w:pPr>
        <w:numPr>
          <w:ilvl w:val="0"/>
          <w:numId w:val="11"/>
        </w:numPr>
        <w:tabs>
          <w:tab w:val="left" w:pos="219"/>
          <w:tab w:val="left" w:pos="851"/>
        </w:tabs>
        <w:spacing w:before="100" w:beforeAutospacing="1" w:after="100" w:afterAutospacing="1" w:line="240" w:lineRule="auto"/>
        <w:jc w:val="both"/>
        <w:rPr>
          <w:rFonts w:ascii="CRC55" w:eastAsia="Times New Roman" w:hAnsi="CRC55" w:cs="Times New Roman"/>
          <w:sz w:val="26"/>
          <w:szCs w:val="26"/>
          <w:lang w:eastAsia="ru-RU"/>
        </w:rPr>
      </w:pPr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средние предприятия – 2 </w:t>
      </w:r>
      <w:proofErr w:type="gramStart"/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млрд</w:t>
      </w:r>
      <w:proofErr w:type="gramEnd"/>
      <w:r w:rsidRPr="00CC4167">
        <w:rPr>
          <w:rFonts w:ascii="CRC55" w:eastAsia="Times New Roman" w:hAnsi="CRC55" w:cs="Times New Roman"/>
          <w:sz w:val="26"/>
          <w:szCs w:val="26"/>
          <w:lang w:eastAsia="ru-RU"/>
        </w:rPr>
        <w:t> рублей.</w:t>
      </w:r>
    </w:p>
    <w:p w:rsidR="003A532A" w:rsidRPr="003A532A" w:rsidRDefault="00D72D24" w:rsidP="00D72D24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0FC7" w:rsidRPr="001B2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Подробная </w:t>
      </w:r>
      <w:r w:rsidR="003A532A"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</w:t>
      </w:r>
      <w:r w:rsidR="006C0FC7" w:rsidRPr="001B21B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3A532A"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0FC7" w:rsidRPr="001B21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доступна </w:t>
      </w:r>
      <w:r w:rsidR="003A532A"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3A532A" w:rsidRPr="003A532A">
        <w:rPr>
          <w:sz w:val="26"/>
          <w:szCs w:val="26"/>
        </w:rPr>
        <w:t xml:space="preserve"> </w:t>
      </w:r>
      <w:hyperlink r:id="rId8" w:history="1">
        <w:r w:rsidR="003A532A" w:rsidRPr="001B21B9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ссы</w:t>
        </w:r>
        <w:r w:rsidR="003A532A" w:rsidRPr="001B21B9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л</w:t>
        </w:r>
        <w:r w:rsidR="003A532A" w:rsidRPr="001B21B9">
          <w:rPr>
            <w:rFonts w:ascii="Times New Roman" w:hAnsi="Times New Roman" w:cs="Times New Roman"/>
            <w:color w:val="0000FF" w:themeColor="hyperlink"/>
            <w:sz w:val="26"/>
            <w:szCs w:val="26"/>
            <w:u w:val="single"/>
          </w:rPr>
          <w:t>ке</w:t>
        </w:r>
      </w:hyperlink>
      <w:r w:rsidR="003A532A" w:rsidRPr="003A532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532A" w:rsidRPr="001B21B9" w:rsidRDefault="003A532A" w:rsidP="003A532A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1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для справок: </w:t>
      </w:r>
      <w:r w:rsidRPr="001B21B9">
        <w:rPr>
          <w:rFonts w:ascii="Times New Roman" w:eastAsia="Times New Roman" w:hAnsi="Times New Roman" w:cs="Times New Roman"/>
          <w:sz w:val="26"/>
          <w:szCs w:val="26"/>
          <w:lang w:eastAsia="ru-RU"/>
        </w:rPr>
        <w:t>8 800 234-27-27 (бесплатно для звонков со стационарных телефонов и номеров российских мобильных операторов на территории РФ).</w:t>
      </w:r>
    </w:p>
    <w:p w:rsidR="003A532A" w:rsidRPr="001B21B9" w:rsidRDefault="003A532A" w:rsidP="003A532A">
      <w:pPr>
        <w:tabs>
          <w:tab w:val="left" w:pos="709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2A" w:rsidRPr="003A532A" w:rsidRDefault="003A532A" w:rsidP="008417D7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21B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дополнительной информацией необходимо обращаться в сектор инвестиций и предпринимательства  </w:t>
      </w:r>
      <w:proofErr w:type="gramStart"/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экономического развития администрации города Судака</w:t>
      </w:r>
      <w:proofErr w:type="gramEnd"/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  по адресу:</w:t>
      </w:r>
    </w:p>
    <w:p w:rsidR="003A532A" w:rsidRPr="003A532A" w:rsidRDefault="003A532A" w:rsidP="003A53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Судак, ул. Ленина, 85а, </w:t>
      </w:r>
      <w:proofErr w:type="spellStart"/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. 214</w:t>
      </w:r>
    </w:p>
    <w:p w:rsidR="003A532A" w:rsidRPr="003A532A" w:rsidRDefault="003A532A" w:rsidP="003A532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тел.: (36566) 3-12-44, e-</w:t>
      </w:r>
      <w:proofErr w:type="spellStart"/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hyperlink r:id="rId9" w:history="1">
        <w:r w:rsidRPr="003A532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sudak_ekonomika@mail.ru</w:t>
        </w:r>
      </w:hyperlink>
      <w:r w:rsidRPr="003A5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3A532A" w:rsidRPr="003A532A" w:rsidRDefault="003A532A" w:rsidP="003A532A">
      <w:pPr>
        <w:tabs>
          <w:tab w:val="left" w:pos="1467"/>
        </w:tabs>
        <w:rPr>
          <w:sz w:val="26"/>
          <w:szCs w:val="26"/>
        </w:rPr>
      </w:pPr>
    </w:p>
    <w:p w:rsidR="0082137D" w:rsidRDefault="0082137D"/>
    <w:sectPr w:rsidR="0082137D" w:rsidSect="001B21B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RC55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6E3"/>
    <w:multiLevelType w:val="multilevel"/>
    <w:tmpl w:val="AAEE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E1C6B"/>
    <w:multiLevelType w:val="multilevel"/>
    <w:tmpl w:val="EC28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21CD9"/>
    <w:multiLevelType w:val="multilevel"/>
    <w:tmpl w:val="C84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70791"/>
    <w:multiLevelType w:val="multilevel"/>
    <w:tmpl w:val="11BE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21318"/>
    <w:multiLevelType w:val="multilevel"/>
    <w:tmpl w:val="709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95FF4"/>
    <w:multiLevelType w:val="multilevel"/>
    <w:tmpl w:val="B1FC89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630F21"/>
    <w:multiLevelType w:val="multilevel"/>
    <w:tmpl w:val="1BC2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6D4AA3"/>
    <w:multiLevelType w:val="multilevel"/>
    <w:tmpl w:val="38E882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A10558"/>
    <w:multiLevelType w:val="multilevel"/>
    <w:tmpl w:val="5286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358D1"/>
    <w:multiLevelType w:val="multilevel"/>
    <w:tmpl w:val="4B36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D47517"/>
    <w:multiLevelType w:val="multilevel"/>
    <w:tmpl w:val="8654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78"/>
    <w:rsid w:val="00004411"/>
    <w:rsid w:val="000C2196"/>
    <w:rsid w:val="00145478"/>
    <w:rsid w:val="001B21B9"/>
    <w:rsid w:val="00273403"/>
    <w:rsid w:val="00280B9C"/>
    <w:rsid w:val="00334630"/>
    <w:rsid w:val="0034227B"/>
    <w:rsid w:val="00351F04"/>
    <w:rsid w:val="00364338"/>
    <w:rsid w:val="003A41A2"/>
    <w:rsid w:val="003A532A"/>
    <w:rsid w:val="004A18DF"/>
    <w:rsid w:val="004E4687"/>
    <w:rsid w:val="00532AE2"/>
    <w:rsid w:val="00606627"/>
    <w:rsid w:val="0066486A"/>
    <w:rsid w:val="006A3CED"/>
    <w:rsid w:val="006C0FC7"/>
    <w:rsid w:val="006C4F7C"/>
    <w:rsid w:val="006E1ED7"/>
    <w:rsid w:val="007907F5"/>
    <w:rsid w:val="0082137D"/>
    <w:rsid w:val="008417D7"/>
    <w:rsid w:val="00AB1874"/>
    <w:rsid w:val="00B54208"/>
    <w:rsid w:val="00CC4167"/>
    <w:rsid w:val="00D11877"/>
    <w:rsid w:val="00D121CD"/>
    <w:rsid w:val="00D7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4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1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47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51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00ABAA"/>
            <w:right w:val="none" w:sz="0" w:space="0" w:color="auto"/>
          </w:divBdr>
          <w:divsChild>
            <w:div w:id="11488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88503">
                  <w:marLeft w:val="0"/>
                  <w:marRight w:val="30"/>
                  <w:marTop w:val="0"/>
                  <w:marBottom w:val="0"/>
                  <w:divBdr>
                    <w:top w:val="single" w:sz="6" w:space="8" w:color="auto"/>
                    <w:left w:val="single" w:sz="6" w:space="11" w:color="auto"/>
                    <w:bottom w:val="single" w:sz="6" w:space="8" w:color="auto"/>
                    <w:right w:val="single" w:sz="6" w:space="11" w:color="auto"/>
                  </w:divBdr>
                </w:div>
              </w:divsChild>
            </w:div>
            <w:div w:id="153002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425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1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cb.ru/yuridicheskim-litsam/kreditovanie-biznesa/stimulirovanie-malogo-biznes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ncb.ru/upload/iblock/68c/program_6_5_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ncb.ru/upload/iblock/68c/program_6_5_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dak_ekonom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2018-01-11T05:52:00Z</dcterms:created>
  <dcterms:modified xsi:type="dcterms:W3CDTF">2018-01-11T06:43:00Z</dcterms:modified>
</cp:coreProperties>
</file>