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С 1 января 2023 все налогоплательщики переходят на новую форму оплаты налогов и страховых взносов – Единый налоговый платеж (ЕНП), распределяющейся на Единый налоговый счет (ЕНС) в соответствии с Федеральным законом № 263 от 14.07.2022 «О внесении изменений в части первую и вторую Налогового кодекса Российской Федерации».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Система ЕНС регламентирует переход на единый </w:t>
      </w:r>
      <w:r w:rsidRPr="001D017C">
        <w:rPr>
          <w:rFonts w:ascii="Golos" w:eastAsia="Times New Roman" w:hAnsi="Golos" w:cs="Times New Roman"/>
          <w:b/>
          <w:bCs/>
          <w:spacing w:val="1"/>
          <w:sz w:val="24"/>
          <w:szCs w:val="24"/>
          <w:lang w:eastAsia="ru-RU"/>
        </w:rPr>
        <w:t>срок сдачи деклараций (расчетов) – не позднее 25 числа и единый срок уплаты налогов – не позднее 28 числа</w:t>
      </w: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.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Слово «один» кратко характеризует основные преимущества ЕНС: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- 1 сальдо расчетов с бюджетом;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- 1 платежный документ;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- 1 день на возврат излишне уплаченных денежных средств с ЕНС;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- 1 день на снятие приостановки со счетов при уплате долга;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- 1 документ взыскания;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- 1 день для снятия блокировки по счету.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b/>
          <w:bCs/>
          <w:spacing w:val="1"/>
          <w:sz w:val="24"/>
          <w:szCs w:val="24"/>
          <w:lang w:eastAsia="ru-RU"/>
        </w:rPr>
        <w:t>Очень важно!</w:t>
      </w: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 </w:t>
      </w:r>
      <w:r w:rsidRPr="001D017C">
        <w:rPr>
          <w:rFonts w:ascii="Golos" w:eastAsia="Times New Roman" w:hAnsi="Golos" w:cs="Times New Roman"/>
          <w:b/>
          <w:bCs/>
          <w:spacing w:val="1"/>
          <w:sz w:val="24"/>
          <w:szCs w:val="24"/>
          <w:lang w:eastAsia="ru-RU"/>
        </w:rPr>
        <w:t>Механизм зачета ЕНП: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в первую очередь - в счет недоимки. Зачет производится сначала в счет недоимки с более ранней датой возникновения, потом - с более поздней;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во вторую очередь - в счет уплаты текущих платежей по налогам (авансам), страховым взносам, по которым у налогоплательщика уже возникла обязанность по уплате;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- в третью очередь - в счет пеней, процентов, штрафов.</w:t>
      </w:r>
    </w:p>
    <w:p w:rsidR="001D017C" w:rsidRPr="001D017C" w:rsidRDefault="001D017C" w:rsidP="001D017C">
      <w:pPr>
        <w:spacing w:after="0" w:line="240" w:lineRule="auto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Новшество – предоставление в налоговые органы </w:t>
      </w:r>
      <w:r w:rsidRPr="001D017C">
        <w:rPr>
          <w:rFonts w:ascii="Golos" w:eastAsia="Times New Roman" w:hAnsi="Golos" w:cs="Times New Roman"/>
          <w:b/>
          <w:bCs/>
          <w:spacing w:val="1"/>
          <w:sz w:val="24"/>
          <w:szCs w:val="24"/>
          <w:lang w:eastAsia="ru-RU"/>
        </w:rPr>
        <w:t>Уведомления об исчисленных суммах налогов, авансовых платежей</w:t>
      </w:r>
      <w:r w:rsidRPr="001D017C">
        <w:rPr>
          <w:rFonts w:ascii="Golos" w:eastAsia="Times New Roman" w:hAnsi="Golos" w:cs="Times New Roman"/>
          <w:spacing w:val="1"/>
          <w:sz w:val="24"/>
          <w:szCs w:val="24"/>
          <w:lang w:eastAsia="ru-RU"/>
        </w:rPr>
        <w:t> (КНД 1110355), только в случае, если законодательством предусмотрена уплата налога, авансовых платежей, страховых взносов до представления соответствующей налоговой декларации. Для зачета ЕНП в налоговые обязательства подача Уведомления обязательна.</w:t>
      </w:r>
    </w:p>
    <w:p w:rsidR="001D017C" w:rsidRPr="001D017C" w:rsidRDefault="001D017C" w:rsidP="001D017C">
      <w:pPr>
        <w:spacing w:after="0" w:line="240" w:lineRule="auto"/>
        <w:jc w:val="center"/>
        <w:rPr>
          <w:rFonts w:ascii="Golos" w:eastAsia="Times New Roman" w:hAnsi="Golos" w:cs="Times New Roman"/>
          <w:spacing w:val="1"/>
          <w:sz w:val="24"/>
          <w:szCs w:val="24"/>
          <w:lang w:eastAsia="ru-RU"/>
        </w:rPr>
      </w:pPr>
      <w:r w:rsidRPr="001D017C">
        <w:rPr>
          <w:rFonts w:ascii="Golos" w:eastAsia="Times New Roman" w:hAnsi="Golos" w:cs="Times New Roman"/>
          <w:b/>
          <w:bCs/>
          <w:spacing w:val="1"/>
          <w:sz w:val="24"/>
          <w:szCs w:val="24"/>
          <w:lang w:eastAsia="ru-RU"/>
        </w:rPr>
        <w:t>Реквизиты уплаты (перечисления) в бюджетную систему Российской Федерации налогов, сборов, страховых взносов, пеней, штрафов, процентов, начиная с 1 января 2023 года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8"/>
        <w:gridCol w:w="3365"/>
        <w:gridCol w:w="4072"/>
      </w:tblGrid>
      <w:tr w:rsidR="001D017C" w:rsidRPr="001D017C" w:rsidTr="001D017C">
        <w:trPr>
          <w:tblCellSpacing w:w="15" w:type="dxa"/>
        </w:trPr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(поля) реквизита платежного документа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(поля) реквизита платежного документа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</w:tr>
      <w:tr w:rsidR="001D017C" w:rsidRPr="001D017C" w:rsidTr="001D017C">
        <w:trPr>
          <w:tblCellSpacing w:w="15" w:type="dxa"/>
        </w:trPr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банка получателя средств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«ОТДЕЛЕНИЕ ТУЛА БАНКА РОССИИ//УФК по Тульской области, г Тула»</w:t>
            </w:r>
          </w:p>
        </w:tc>
      </w:tr>
      <w:tr w:rsidR="001D017C" w:rsidRPr="001D017C" w:rsidTr="001D017C">
        <w:trPr>
          <w:tblCellSpacing w:w="15" w:type="dxa"/>
        </w:trPr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БИК банка получателя средств (БИК ТОФК)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«017003983»</w:t>
            </w:r>
          </w:p>
        </w:tc>
      </w:tr>
      <w:tr w:rsidR="001D017C" w:rsidRPr="001D017C" w:rsidTr="001D017C">
        <w:trPr>
          <w:tblCellSpacing w:w="15" w:type="dxa"/>
        </w:trPr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счета банка получателя средств (номер банковского счета, входящего в состав единого казначейского счета)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«40102810445370000059»</w:t>
            </w:r>
          </w:p>
        </w:tc>
      </w:tr>
      <w:tr w:rsidR="001D017C" w:rsidRPr="001D017C" w:rsidTr="001D017C">
        <w:trPr>
          <w:tblCellSpacing w:w="15" w:type="dxa"/>
        </w:trPr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Получатель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Федерального казначейства по Тульской области (НО по месту постановки на учет)»</w:t>
            </w:r>
          </w:p>
        </w:tc>
      </w:tr>
      <w:tr w:rsidR="001D017C" w:rsidRPr="001D017C" w:rsidTr="001D017C">
        <w:trPr>
          <w:tblCellSpacing w:w="15" w:type="dxa"/>
        </w:trPr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казначейского счета</w:t>
            </w:r>
          </w:p>
        </w:tc>
        <w:tc>
          <w:tcPr>
            <w:tcW w:w="0" w:type="auto"/>
            <w:vAlign w:val="center"/>
            <w:hideMark/>
          </w:tcPr>
          <w:p w:rsidR="001D017C" w:rsidRPr="001D017C" w:rsidRDefault="001D017C" w:rsidP="001D01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01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«03100643000000018500»</w:t>
            </w:r>
          </w:p>
        </w:tc>
      </w:tr>
    </w:tbl>
    <w:p w:rsidR="00AC3416" w:rsidRDefault="00AC3416">
      <w:bookmarkStart w:id="0" w:name="_GoBack"/>
      <w:bookmarkEnd w:id="0"/>
    </w:p>
    <w:sectPr w:rsidR="00AC3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olo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94B"/>
    <w:rsid w:val="001D017C"/>
    <w:rsid w:val="00AC3416"/>
    <w:rsid w:val="00C83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9C7CED-8374-4AA2-A306-A0D528271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0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017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4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04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1921</Characters>
  <Application>Microsoft Office Word</Application>
  <DocSecurity>0</DocSecurity>
  <Lines>16</Lines>
  <Paragraphs>4</Paragraphs>
  <ScaleCrop>false</ScaleCrop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Pon</dc:creator>
  <cp:keywords/>
  <dc:description/>
  <cp:lastModifiedBy>Daria Pon</cp:lastModifiedBy>
  <cp:revision>2</cp:revision>
  <dcterms:created xsi:type="dcterms:W3CDTF">2024-12-19T22:51:00Z</dcterms:created>
  <dcterms:modified xsi:type="dcterms:W3CDTF">2024-12-19T22:51:00Z</dcterms:modified>
</cp:coreProperties>
</file>